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4" w:lineRule="exact"/>
        <w:ind w:firstLine="3080" w:firstLineChars="700"/>
        <w:jc w:val="both"/>
        <w:rPr>
          <w:rFonts w:hint="eastAsia" w:ascii="Times New Roman" w:hAnsi="Times New Roman" w:eastAsia="方正小标宋简体" w:cs="Times New Roman"/>
          <w:sz w:val="44"/>
          <w:szCs w:val="44"/>
          <w:lang w:val="en-US" w:eastAsia="zh-CN"/>
        </w:rPr>
      </w:pPr>
      <w:r>
        <w:rPr>
          <w:rFonts w:ascii="Times New Roman" w:hAnsi="Times New Roman" w:eastAsia="方正小标宋简体" w:cs="Times New Roman"/>
          <w:sz w:val="44"/>
          <w:szCs w:val="44"/>
        </w:rPr>
        <w:t>廊坊市</w:t>
      </w:r>
      <w:r>
        <w:rPr>
          <w:rFonts w:hint="eastAsia" w:ascii="Times New Roman" w:hAnsi="Times New Roman" w:eastAsia="方正小标宋简体" w:cs="Times New Roman"/>
          <w:sz w:val="44"/>
          <w:szCs w:val="44"/>
          <w:lang w:val="en-US" w:eastAsia="zh-CN"/>
        </w:rPr>
        <w:t>农林科学院</w:t>
      </w:r>
    </w:p>
    <w:p>
      <w:pPr>
        <w:spacing w:line="584" w:lineRule="exact"/>
        <w:ind w:firstLine="880" w:firstLineChars="200"/>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20</w:t>
      </w:r>
      <w:r>
        <w:rPr>
          <w:rFonts w:hint="eastAsia" w:ascii="Times New Roman" w:hAnsi="Times New Roman" w:eastAsia="方正小标宋简体" w:cs="Times New Roman"/>
          <w:sz w:val="44"/>
          <w:szCs w:val="44"/>
        </w:rPr>
        <w:t>2</w:t>
      </w:r>
      <w:r>
        <w:rPr>
          <w:rFonts w:ascii="Times New Roman" w:hAnsi="Times New Roman" w:eastAsia="方正小标宋简体" w:cs="Times New Roman"/>
          <w:sz w:val="44"/>
          <w:szCs w:val="44"/>
        </w:rPr>
        <w:t>2年部门预算信息公开</w:t>
      </w:r>
      <w:r>
        <w:rPr>
          <w:rFonts w:hint="eastAsia" w:ascii="Times New Roman" w:hAnsi="Times New Roman" w:eastAsia="方正小标宋简体" w:cs="Times New Roman"/>
          <w:sz w:val="44"/>
          <w:szCs w:val="44"/>
        </w:rPr>
        <w:t>情况说明</w:t>
      </w:r>
    </w:p>
    <w:p>
      <w:pPr>
        <w:spacing w:line="584" w:lineRule="exact"/>
        <w:ind w:firstLine="880" w:firstLineChars="200"/>
        <w:jc w:val="center"/>
        <w:rPr>
          <w:rFonts w:ascii="Times New Roman" w:hAnsi="Times New Roman" w:eastAsia="仿宋_GB2312" w:cs="Times New Roman"/>
          <w:sz w:val="44"/>
          <w:szCs w:val="44"/>
        </w:rPr>
      </w:pP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按照《中华人民共和国预算法》、《中华人民共和国预算法实施条例》、《地方预决算公开操作规程》和《河北省省级预算公开办法》规定，现将廊坊市</w:t>
      </w:r>
      <w:r>
        <w:rPr>
          <w:rFonts w:hint="eastAsia" w:ascii="Times New Roman" w:hAnsi="Times New Roman" w:eastAsia="仿宋_GB2312" w:cs="Times New Roman"/>
          <w:sz w:val="32"/>
          <w:szCs w:val="32"/>
          <w:lang w:val="en-US" w:eastAsia="zh-CN"/>
        </w:rPr>
        <w:t>农林科学院</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2年部门预算公开如下：</w:t>
      </w:r>
    </w:p>
    <w:p>
      <w:pPr>
        <w:spacing w:line="584"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一、部门职责及机构设置情况</w:t>
      </w:r>
    </w:p>
    <w:p>
      <w:pPr>
        <w:spacing w:line="584" w:lineRule="exact"/>
        <w:ind w:firstLine="642" w:firstLineChars="200"/>
        <w:rPr>
          <w:rFonts w:ascii="Times New Roman" w:hAnsi="Times New Roman" w:eastAsia="楷体_GB2312" w:cs="Times New Roman"/>
          <w:b/>
          <w:sz w:val="32"/>
          <w:szCs w:val="32"/>
        </w:rPr>
      </w:pPr>
      <w:r>
        <w:rPr>
          <w:rFonts w:ascii="Times New Roman" w:hAnsi="Times New Roman" w:eastAsia="楷体_GB2312" w:cs="Times New Roman"/>
          <w:b/>
          <w:sz w:val="32"/>
          <w:szCs w:val="32"/>
        </w:rPr>
        <w:t>部门职责：</w:t>
      </w:r>
    </w:p>
    <w:p>
      <w:pPr>
        <w:pStyle w:val="3"/>
        <w:rPr>
          <w:rFonts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在市委、市政府的领导下，贯彻执行上级有关农业科研方面的政策和规定。针对我市农业生产需求，积极争取和承担国家、省、市科研项目，加强横向联合攻关，开展农业科学研究，不断提高科技创新能力。建立农业科技试验示范基地，搞好成果引进、消化、吸收和转化对接，为我市农业发展提供公益性的农业科研成果和技术咨询、技术培训、技术服务。</w:t>
      </w:r>
    </w:p>
    <w:p>
      <w:pPr>
        <w:autoSpaceDE w:val="0"/>
        <w:autoSpaceDN w:val="0"/>
        <w:adjustRightInd w:val="0"/>
        <w:spacing w:line="584" w:lineRule="exact"/>
        <w:ind w:firstLine="629" w:firstLineChars="196"/>
        <w:jc w:val="left"/>
        <w:rPr>
          <w:rFonts w:ascii="Times New Roman" w:hAnsi="Times New Roman" w:eastAsia="楷体_GB2312" w:cs="Times New Roman"/>
          <w:b/>
          <w:sz w:val="32"/>
          <w:szCs w:val="32"/>
        </w:rPr>
      </w:pPr>
      <w:r>
        <w:rPr>
          <w:rFonts w:ascii="Times New Roman" w:hAnsi="Times New Roman" w:eastAsia="楷体_GB2312" w:cs="Times New Roman"/>
          <w:b/>
          <w:sz w:val="32"/>
          <w:szCs w:val="32"/>
        </w:rPr>
        <w:t>机构设置：</w:t>
      </w:r>
    </w:p>
    <w:p>
      <w:pPr>
        <w:spacing w:line="584" w:lineRule="exact"/>
        <w:jc w:val="center"/>
        <w:outlineLvl w:val="0"/>
        <w:rPr>
          <w:rFonts w:ascii="Times New Roman" w:hAnsi="Times New Roman" w:eastAsia="仿宋_GB2312" w:cs="Times New Roman"/>
          <w:b/>
          <w:sz w:val="32"/>
          <w:szCs w:val="24"/>
        </w:rPr>
      </w:pPr>
      <w:r>
        <w:rPr>
          <w:rFonts w:ascii="Times New Roman" w:hAnsi="Times New Roman" w:eastAsia="仿宋_GB2312" w:cs="Times New Roman"/>
          <w:b/>
          <w:sz w:val="32"/>
          <w:szCs w:val="24"/>
        </w:rPr>
        <w:t>部门机构设置情况</w:t>
      </w:r>
    </w:p>
    <w:tbl>
      <w:tblPr>
        <w:tblStyle w:val="10"/>
        <w:tblW w:w="975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443"/>
        <w:gridCol w:w="1134"/>
        <w:gridCol w:w="1276"/>
        <w:gridCol w:w="290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84" w:hRule="atLeast"/>
          <w:tblHeader/>
          <w:jc w:val="center"/>
        </w:trPr>
        <w:tc>
          <w:tcPr>
            <w:tcW w:w="4443" w:type="dxa"/>
            <w:vMerge w:val="restart"/>
            <w:shd w:val="clear" w:color="auto" w:fill="auto"/>
            <w:vAlign w:val="center"/>
          </w:tcPr>
          <w:p>
            <w:pPr>
              <w:spacing w:line="584" w:lineRule="exact"/>
              <w:jc w:val="center"/>
              <w:rPr>
                <w:rFonts w:ascii="Times New Roman" w:hAnsi="Times New Roman" w:eastAsia="仿宋_GB2312" w:cs="Times New Roman"/>
                <w:b/>
                <w:szCs w:val="24"/>
              </w:rPr>
            </w:pPr>
            <w:r>
              <w:rPr>
                <w:rFonts w:ascii="Times New Roman" w:hAnsi="Times New Roman" w:eastAsia="仿宋_GB2312" w:cs="Times New Roman"/>
                <w:b/>
                <w:szCs w:val="24"/>
              </w:rPr>
              <w:t>单位名称</w:t>
            </w:r>
          </w:p>
        </w:tc>
        <w:tc>
          <w:tcPr>
            <w:tcW w:w="1134" w:type="dxa"/>
            <w:vMerge w:val="restart"/>
            <w:shd w:val="clear" w:color="auto" w:fill="auto"/>
            <w:vAlign w:val="center"/>
          </w:tcPr>
          <w:p>
            <w:pPr>
              <w:spacing w:line="584" w:lineRule="exact"/>
              <w:jc w:val="center"/>
              <w:rPr>
                <w:rFonts w:ascii="Times New Roman" w:hAnsi="Times New Roman" w:eastAsia="仿宋_GB2312" w:cs="Times New Roman"/>
                <w:b/>
                <w:szCs w:val="24"/>
              </w:rPr>
            </w:pPr>
            <w:r>
              <w:rPr>
                <w:rFonts w:ascii="Times New Roman" w:hAnsi="Times New Roman" w:eastAsia="仿宋_GB2312" w:cs="Times New Roman"/>
                <w:b/>
                <w:szCs w:val="24"/>
              </w:rPr>
              <w:t>单位性质</w:t>
            </w:r>
          </w:p>
        </w:tc>
        <w:tc>
          <w:tcPr>
            <w:tcW w:w="1276" w:type="dxa"/>
            <w:vMerge w:val="restart"/>
            <w:shd w:val="clear" w:color="auto" w:fill="auto"/>
            <w:vAlign w:val="center"/>
          </w:tcPr>
          <w:p>
            <w:pPr>
              <w:spacing w:line="584" w:lineRule="exact"/>
              <w:jc w:val="center"/>
              <w:rPr>
                <w:rFonts w:ascii="Times New Roman" w:hAnsi="Times New Roman" w:eastAsia="仿宋_GB2312" w:cs="Times New Roman"/>
                <w:b/>
                <w:szCs w:val="24"/>
              </w:rPr>
            </w:pPr>
            <w:r>
              <w:rPr>
                <w:rFonts w:ascii="Times New Roman" w:hAnsi="Times New Roman" w:eastAsia="仿宋_GB2312" w:cs="Times New Roman"/>
                <w:b/>
                <w:szCs w:val="24"/>
              </w:rPr>
              <w:t>单位规格</w:t>
            </w:r>
          </w:p>
        </w:tc>
        <w:tc>
          <w:tcPr>
            <w:tcW w:w="2902" w:type="dxa"/>
            <w:vMerge w:val="restart"/>
            <w:shd w:val="clear" w:color="auto" w:fill="auto"/>
            <w:vAlign w:val="center"/>
          </w:tcPr>
          <w:p>
            <w:pPr>
              <w:spacing w:line="584" w:lineRule="exact"/>
              <w:jc w:val="center"/>
              <w:rPr>
                <w:rFonts w:ascii="Times New Roman" w:hAnsi="Times New Roman" w:eastAsia="仿宋_GB2312" w:cs="Times New Roman"/>
                <w:b/>
                <w:szCs w:val="24"/>
              </w:rPr>
            </w:pPr>
            <w:r>
              <w:rPr>
                <w:rFonts w:ascii="Times New Roman" w:hAnsi="Times New Roman" w:eastAsia="仿宋_GB2312" w:cs="Times New Roman"/>
                <w:b/>
                <w:szCs w:val="24"/>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12" w:hRule="atLeast"/>
          <w:tblHeader/>
          <w:jc w:val="center"/>
        </w:trPr>
        <w:tc>
          <w:tcPr>
            <w:tcW w:w="4443" w:type="dxa"/>
            <w:vMerge w:val="continue"/>
            <w:shd w:val="clear" w:color="auto" w:fill="auto"/>
            <w:vAlign w:val="center"/>
          </w:tcPr>
          <w:p/>
        </w:tc>
        <w:tc>
          <w:tcPr>
            <w:tcW w:w="1134" w:type="dxa"/>
            <w:vMerge w:val="continue"/>
            <w:shd w:val="clear" w:color="auto" w:fill="auto"/>
            <w:vAlign w:val="center"/>
          </w:tcPr>
          <w:p/>
        </w:tc>
        <w:tc>
          <w:tcPr>
            <w:tcW w:w="1276" w:type="dxa"/>
            <w:vMerge w:val="continue"/>
            <w:shd w:val="clear" w:color="auto" w:fill="auto"/>
            <w:vAlign w:val="center"/>
          </w:tcPr>
          <w:p/>
        </w:tc>
        <w:tc>
          <w:tcPr>
            <w:tcW w:w="2902" w:type="dxa"/>
            <w:vMerge w:val="continue"/>
            <w:shd w:val="clear" w:color="auto" w:fill="auto"/>
            <w:vAlign w:val="center"/>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4443" w:type="dxa"/>
            <w:shd w:val="clear" w:color="auto" w:fill="auto"/>
            <w:vAlign w:val="center"/>
          </w:tcPr>
          <w:p>
            <w:pPr>
              <w:spacing w:line="584" w:lineRule="exact"/>
              <w:jc w:val="center"/>
              <w:rPr>
                <w:rFonts w:hint="eastAsia" w:ascii="Times New Roman" w:hAnsi="Times New Roman" w:eastAsia="仿宋_GB2312" w:cs="Times New Roman"/>
                <w:b/>
                <w:lang w:eastAsia="zh-CN"/>
              </w:rPr>
            </w:pPr>
            <w:r>
              <w:rPr>
                <w:rFonts w:hint="eastAsia" w:ascii="Times New Roman" w:hAnsi="Times New Roman" w:eastAsia="仿宋_GB2312" w:cs="Times New Roman"/>
                <w:b/>
                <w:lang w:eastAsia="zh-CN"/>
              </w:rPr>
              <w:t>廊坊市农林科学院</w:t>
            </w:r>
          </w:p>
        </w:tc>
        <w:tc>
          <w:tcPr>
            <w:tcW w:w="1134" w:type="dxa"/>
            <w:shd w:val="clear" w:color="auto" w:fill="auto"/>
            <w:vAlign w:val="center"/>
          </w:tcPr>
          <w:p>
            <w:pPr>
              <w:spacing w:line="584" w:lineRule="exact"/>
              <w:jc w:val="center"/>
              <w:rPr>
                <w:rFonts w:ascii="Times New Roman" w:hAnsi="Times New Roman" w:eastAsia="仿宋_GB2312" w:cs="Times New Roman"/>
                <w:b/>
              </w:rPr>
            </w:pPr>
            <w:r>
              <w:rPr>
                <w:rFonts w:hint="eastAsia" w:ascii="Times New Roman" w:hAnsi="Times New Roman" w:eastAsia="仿宋_GB2312" w:cs="Times New Roman"/>
                <w:b/>
                <w:lang w:eastAsia="zh-CN"/>
              </w:rPr>
              <w:t>事业单位</w:t>
            </w:r>
          </w:p>
        </w:tc>
        <w:tc>
          <w:tcPr>
            <w:tcW w:w="1276" w:type="dxa"/>
            <w:shd w:val="clear" w:color="auto" w:fill="auto"/>
            <w:vAlign w:val="center"/>
          </w:tcPr>
          <w:p>
            <w:pPr>
              <w:spacing w:line="584" w:lineRule="exact"/>
              <w:jc w:val="center"/>
              <w:rPr>
                <w:rFonts w:hint="eastAsia" w:ascii="Times New Roman" w:hAnsi="Times New Roman" w:eastAsia="仿宋_GB2312" w:cs="Times New Roman"/>
                <w:b/>
                <w:lang w:eastAsia="zh-CN"/>
              </w:rPr>
            </w:pPr>
            <w:r>
              <w:rPr>
                <w:rFonts w:hint="eastAsia" w:ascii="Times New Roman" w:hAnsi="Times New Roman" w:eastAsia="仿宋_GB2312" w:cs="Times New Roman"/>
                <w:b/>
                <w:lang w:eastAsia="zh-CN"/>
              </w:rPr>
              <w:t>正处级</w:t>
            </w:r>
          </w:p>
        </w:tc>
        <w:tc>
          <w:tcPr>
            <w:tcW w:w="2902" w:type="dxa"/>
            <w:shd w:val="clear" w:color="auto" w:fill="auto"/>
            <w:vAlign w:val="center"/>
          </w:tcPr>
          <w:p>
            <w:pPr>
              <w:spacing w:line="584" w:lineRule="exact"/>
              <w:jc w:val="center"/>
              <w:rPr>
                <w:rFonts w:ascii="Times New Roman" w:hAnsi="Times New Roman" w:eastAsia="仿宋_GB2312" w:cs="Times New Roman"/>
                <w:b/>
              </w:rPr>
            </w:pPr>
            <w:r>
              <w:rPr>
                <w:rFonts w:hint="eastAsia" w:ascii="Times New Roman" w:hAnsi="Times New Roman" w:eastAsia="仿宋_GB2312" w:cs="Times New Roman"/>
                <w:b/>
                <w:lang w:eastAsia="zh-CN"/>
              </w:rPr>
              <w:t>财政性资金基本保证</w:t>
            </w:r>
          </w:p>
        </w:tc>
      </w:tr>
    </w:tbl>
    <w:p>
      <w:pPr>
        <w:spacing w:line="584" w:lineRule="exact"/>
        <w:ind w:firstLine="640" w:firstLineChars="200"/>
        <w:rPr>
          <w:rFonts w:ascii="Times New Roman" w:hAnsi="Times New Roman" w:eastAsia="黑体" w:cs="Times New Roman"/>
          <w:sz w:val="32"/>
          <w:szCs w:val="32"/>
        </w:rPr>
      </w:pPr>
    </w:p>
    <w:p>
      <w:pPr>
        <w:spacing w:line="584"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二、部门预算安排的总体情况</w:t>
      </w: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按照预算管理有关规定，目前我市部门预算的编制实行综合预算制度，即全部收入和支出都反映在预算中。廊坊市</w:t>
      </w:r>
      <w:r>
        <w:rPr>
          <w:rFonts w:hint="eastAsia" w:ascii="Times New Roman" w:hAnsi="Times New Roman" w:eastAsia="仿宋_GB2312" w:cs="Times New Roman"/>
          <w:sz w:val="32"/>
          <w:szCs w:val="32"/>
          <w:lang w:eastAsia="zh-CN"/>
        </w:rPr>
        <w:t>农林科学院本级</w:t>
      </w:r>
      <w:r>
        <w:rPr>
          <w:rFonts w:ascii="Times New Roman" w:hAnsi="Times New Roman" w:eastAsia="仿宋_GB2312" w:cs="Times New Roman"/>
          <w:sz w:val="32"/>
          <w:szCs w:val="32"/>
        </w:rPr>
        <w:t>的收支包含在部门预算中。</w:t>
      </w:r>
    </w:p>
    <w:p>
      <w:pPr>
        <w:spacing w:line="584" w:lineRule="exact"/>
        <w:ind w:firstLine="640"/>
        <w:rPr>
          <w:rFonts w:ascii="Times New Roman" w:hAnsi="Times New Roman" w:eastAsia="仿宋_GB2312" w:cs="Times New Roman"/>
          <w:b/>
          <w:sz w:val="32"/>
          <w:szCs w:val="32"/>
        </w:rPr>
      </w:pPr>
      <w:r>
        <w:rPr>
          <w:rFonts w:ascii="Times New Roman" w:hAnsi="Times New Roman" w:eastAsia="仿宋_GB2312" w:cs="Times New Roman"/>
          <w:b/>
          <w:sz w:val="32"/>
          <w:szCs w:val="32"/>
        </w:rPr>
        <w:t>1、</w:t>
      </w:r>
      <w:r>
        <w:rPr>
          <w:rFonts w:hint="eastAsia" w:ascii="楷体" w:hAnsi="楷体" w:eastAsia="楷体" w:cs="楷体"/>
          <w:b/>
          <w:sz w:val="32"/>
          <w:szCs w:val="32"/>
        </w:rPr>
        <w:t>收入说明</w:t>
      </w:r>
    </w:p>
    <w:p>
      <w:pPr>
        <w:spacing w:line="584" w:lineRule="exact"/>
        <w:ind w:firstLine="640"/>
        <w:rPr>
          <w:rFonts w:hint="eastAsia" w:ascii="Times New Roman" w:hAnsi="Times New Roman" w:eastAsia="仿宋_GB2312" w:cs="Times New Roman"/>
          <w:sz w:val="32"/>
          <w:szCs w:val="32"/>
          <w:lang w:val="en-US" w:eastAsia="zh-CN"/>
        </w:rPr>
      </w:pPr>
      <w:r>
        <w:rPr>
          <w:rFonts w:ascii="Times New Roman" w:hAnsi="Times New Roman" w:eastAsia="仿宋_GB2312" w:cs="Times New Roman"/>
          <w:sz w:val="32"/>
          <w:szCs w:val="32"/>
        </w:rPr>
        <w:t>反映本部门当年全部收入。20</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2年预算收入</w:t>
      </w:r>
      <w:r>
        <w:rPr>
          <w:rFonts w:hint="eastAsia" w:ascii="Times New Roman" w:hAnsi="Times New Roman" w:eastAsia="仿宋_GB2312" w:cs="Times New Roman"/>
          <w:sz w:val="32"/>
          <w:szCs w:val="32"/>
          <w:lang w:val="en-US" w:eastAsia="zh-CN"/>
        </w:rPr>
        <w:t>3124.13</w:t>
      </w:r>
      <w:r>
        <w:rPr>
          <w:rFonts w:ascii="Times New Roman" w:hAnsi="Times New Roman" w:eastAsia="仿宋_GB2312" w:cs="Times New Roman"/>
          <w:sz w:val="32"/>
          <w:szCs w:val="32"/>
        </w:rPr>
        <w:t>万元，其中：一般公共预算收入</w:t>
      </w:r>
      <w:r>
        <w:rPr>
          <w:rFonts w:hint="eastAsia" w:ascii="Times New Roman" w:hAnsi="Times New Roman" w:eastAsia="仿宋_GB2312" w:cs="Times New Roman"/>
          <w:sz w:val="32"/>
          <w:szCs w:val="32"/>
          <w:lang w:val="en-US" w:eastAsia="zh-CN"/>
        </w:rPr>
        <w:t>3124.13</w:t>
      </w:r>
      <w:r>
        <w:rPr>
          <w:rFonts w:ascii="Times New Roman" w:hAnsi="Times New Roman" w:eastAsia="仿宋_GB2312" w:cs="Times New Roman"/>
          <w:sz w:val="32"/>
          <w:szCs w:val="32"/>
        </w:rPr>
        <w:t>万元，基金预算收入</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万元，财政专户核拨收入</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万元，其他来源收入</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上年结转</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 xml:space="preserve">      </w:t>
      </w:r>
    </w:p>
    <w:p>
      <w:pPr>
        <w:spacing w:line="584" w:lineRule="exact"/>
        <w:ind w:firstLine="640"/>
        <w:rPr>
          <w:rFonts w:ascii="Times New Roman" w:hAnsi="Times New Roman" w:eastAsia="仿宋_GB2312" w:cs="Times New Roman"/>
          <w:b/>
          <w:sz w:val="32"/>
          <w:szCs w:val="32"/>
        </w:rPr>
      </w:pPr>
      <w:r>
        <w:rPr>
          <w:rFonts w:ascii="Times New Roman" w:hAnsi="Times New Roman" w:eastAsia="仿宋_GB2312" w:cs="Times New Roman"/>
          <w:b/>
          <w:sz w:val="32"/>
          <w:szCs w:val="32"/>
        </w:rPr>
        <w:t>2</w:t>
      </w:r>
      <w:r>
        <w:rPr>
          <w:rFonts w:hint="eastAsia" w:ascii="楷体" w:hAnsi="楷体" w:eastAsia="楷体" w:cs="楷体"/>
          <w:b/>
          <w:sz w:val="32"/>
          <w:szCs w:val="32"/>
        </w:rPr>
        <w:t>、支出说明</w:t>
      </w:r>
    </w:p>
    <w:p>
      <w:pPr>
        <w:spacing w:line="584" w:lineRule="exact"/>
        <w:ind w:firstLine="640"/>
        <w:rPr>
          <w:rFonts w:hint="eastAsia" w:ascii="Times New Roman" w:hAnsi="Times New Roman" w:eastAsia="仿宋_GB2312" w:cs="Times New Roman"/>
          <w:sz w:val="32"/>
          <w:szCs w:val="32"/>
          <w:lang w:eastAsia="zh-CN"/>
        </w:rPr>
      </w:pPr>
      <w:r>
        <w:rPr>
          <w:rFonts w:ascii="Times New Roman" w:hAnsi="Times New Roman" w:eastAsia="仿宋_GB2312" w:cs="Times New Roman"/>
          <w:sz w:val="32"/>
          <w:szCs w:val="32"/>
        </w:rPr>
        <w:t>收支预算总表支出栏、基本支出表、项目支出表按经济分类和支出功能分类科目编制，反映廊坊市</w:t>
      </w:r>
      <w:r>
        <w:rPr>
          <w:rFonts w:hint="eastAsia" w:ascii="Times New Roman" w:hAnsi="Times New Roman" w:eastAsia="仿宋_GB2312" w:cs="Times New Roman"/>
          <w:sz w:val="32"/>
          <w:szCs w:val="32"/>
          <w:lang w:eastAsia="zh-CN"/>
        </w:rPr>
        <w:t>农林科学院本级</w:t>
      </w:r>
      <w:r>
        <w:rPr>
          <w:rFonts w:ascii="Times New Roman" w:hAnsi="Times New Roman" w:eastAsia="仿宋_GB2312" w:cs="Times New Roman"/>
          <w:sz w:val="32"/>
          <w:szCs w:val="32"/>
        </w:rPr>
        <w:t>年度部门预算中支出预算的总体情况。20</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2年支出预算</w:t>
      </w:r>
      <w:r>
        <w:rPr>
          <w:rFonts w:hint="eastAsia" w:ascii="Times New Roman" w:hAnsi="Times New Roman" w:eastAsia="仿宋_GB2312" w:cs="Times New Roman"/>
          <w:sz w:val="32"/>
          <w:szCs w:val="32"/>
          <w:lang w:val="en-US" w:eastAsia="zh-CN"/>
        </w:rPr>
        <w:t>3124.13</w:t>
      </w:r>
      <w:r>
        <w:rPr>
          <w:rFonts w:ascii="Times New Roman" w:hAnsi="Times New Roman" w:eastAsia="仿宋_GB2312" w:cs="Times New Roman"/>
          <w:sz w:val="32"/>
          <w:szCs w:val="32"/>
        </w:rPr>
        <w:t>万元，其中基本支出</w:t>
      </w:r>
      <w:r>
        <w:rPr>
          <w:rFonts w:hint="eastAsia" w:ascii="Times New Roman" w:hAnsi="Times New Roman" w:eastAsia="仿宋_GB2312" w:cs="Times New Roman"/>
          <w:sz w:val="32"/>
          <w:szCs w:val="32"/>
          <w:lang w:val="en-US" w:eastAsia="zh-CN"/>
        </w:rPr>
        <w:t>2874.23</w:t>
      </w:r>
      <w:r>
        <w:rPr>
          <w:rFonts w:ascii="Times New Roman" w:hAnsi="Times New Roman" w:eastAsia="仿宋_GB2312" w:cs="Times New Roman"/>
          <w:sz w:val="32"/>
          <w:szCs w:val="32"/>
        </w:rPr>
        <w:t>万元，包括人员类项目经费</w:t>
      </w:r>
      <w:r>
        <w:rPr>
          <w:rFonts w:hint="eastAsia" w:ascii="Times New Roman" w:hAnsi="Times New Roman" w:eastAsia="仿宋_GB2312" w:cs="Times New Roman"/>
          <w:sz w:val="32"/>
          <w:szCs w:val="32"/>
          <w:lang w:val="en-US" w:eastAsia="zh-CN"/>
        </w:rPr>
        <w:t>2714.32</w:t>
      </w:r>
      <w:r>
        <w:rPr>
          <w:rFonts w:ascii="Times New Roman" w:hAnsi="Times New Roman" w:eastAsia="仿宋_GB2312" w:cs="Times New Roman"/>
          <w:sz w:val="32"/>
          <w:szCs w:val="32"/>
        </w:rPr>
        <w:t>万元和</w:t>
      </w:r>
      <w:r>
        <w:rPr>
          <w:rFonts w:hint="eastAsia" w:ascii="Times New Roman" w:hAnsi="Times New Roman" w:eastAsia="仿宋_GB2312" w:cs="Times New Roman"/>
          <w:sz w:val="32"/>
          <w:szCs w:val="32"/>
        </w:rPr>
        <w:t>运转类</w:t>
      </w:r>
      <w:r>
        <w:rPr>
          <w:rFonts w:ascii="Times New Roman" w:hAnsi="Times New Roman" w:eastAsia="仿宋_GB2312" w:cs="Times New Roman"/>
          <w:sz w:val="32"/>
          <w:szCs w:val="32"/>
        </w:rPr>
        <w:t>公用项目经费</w:t>
      </w:r>
      <w:r>
        <w:rPr>
          <w:rFonts w:hint="eastAsia" w:ascii="Times New Roman" w:hAnsi="Times New Roman" w:eastAsia="仿宋_GB2312" w:cs="Times New Roman"/>
          <w:sz w:val="32"/>
          <w:szCs w:val="32"/>
          <w:lang w:val="en-US" w:eastAsia="zh-CN"/>
        </w:rPr>
        <w:t>159.91</w:t>
      </w:r>
      <w:r>
        <w:rPr>
          <w:rFonts w:ascii="Times New Roman" w:hAnsi="Times New Roman" w:eastAsia="仿宋_GB2312" w:cs="Times New Roman"/>
          <w:sz w:val="32"/>
          <w:szCs w:val="32"/>
        </w:rPr>
        <w:t>万元；运转类其他及特定目标类项目支出</w:t>
      </w:r>
      <w:r>
        <w:rPr>
          <w:rFonts w:hint="eastAsia" w:ascii="Times New Roman" w:hAnsi="Times New Roman" w:eastAsia="仿宋_GB2312" w:cs="Times New Roman"/>
          <w:sz w:val="32"/>
          <w:szCs w:val="32"/>
          <w:lang w:val="en-US" w:eastAsia="zh-CN"/>
        </w:rPr>
        <w:t>249.9</w:t>
      </w:r>
      <w:r>
        <w:rPr>
          <w:rFonts w:ascii="Times New Roman" w:hAnsi="Times New Roman" w:eastAsia="仿宋_GB2312" w:cs="Times New Roman"/>
          <w:sz w:val="32"/>
          <w:szCs w:val="32"/>
        </w:rPr>
        <w:t>万元，包括本级支出</w:t>
      </w:r>
      <w:r>
        <w:rPr>
          <w:rFonts w:hint="eastAsia" w:ascii="Times New Roman" w:hAnsi="Times New Roman" w:eastAsia="仿宋_GB2312" w:cs="Times New Roman"/>
          <w:sz w:val="32"/>
          <w:szCs w:val="32"/>
          <w:lang w:val="en-US" w:eastAsia="zh-CN"/>
        </w:rPr>
        <w:t>249.9万元</w:t>
      </w:r>
      <w:r>
        <w:rPr>
          <w:rFonts w:ascii="Times New Roman" w:hAnsi="Times New Roman" w:eastAsia="仿宋_GB2312" w:cs="Times New Roman"/>
          <w:sz w:val="32"/>
          <w:szCs w:val="32"/>
        </w:rPr>
        <w:t>，主要为</w:t>
      </w:r>
      <w:r>
        <w:rPr>
          <w:rFonts w:hint="eastAsia" w:ascii="Times New Roman" w:hAnsi="Times New Roman" w:eastAsia="仿宋_GB2312" w:cs="Times New Roman"/>
          <w:sz w:val="32"/>
          <w:szCs w:val="32"/>
          <w:lang w:eastAsia="zh-CN"/>
        </w:rPr>
        <w:t>农业科技综合服务运维项目，廊坊市重要农业种质资源创新及农、牧业关键技术研究示范项目</w:t>
      </w:r>
      <w:r>
        <w:rPr>
          <w:rFonts w:ascii="Times New Roman" w:hAnsi="Times New Roman" w:eastAsia="仿宋_GB2312" w:cs="Times New Roman"/>
          <w:sz w:val="32"/>
          <w:szCs w:val="32"/>
        </w:rPr>
        <w:t>等</w:t>
      </w:r>
      <w:r>
        <w:rPr>
          <w:rFonts w:hint="eastAsia" w:ascii="Times New Roman" w:hAnsi="Times New Roman" w:eastAsia="仿宋_GB2312" w:cs="Times New Roman"/>
          <w:sz w:val="32"/>
          <w:szCs w:val="32"/>
          <w:lang w:eastAsia="zh-CN"/>
        </w:rPr>
        <w:t>。</w:t>
      </w:r>
    </w:p>
    <w:p>
      <w:pPr>
        <w:spacing w:line="584" w:lineRule="exact"/>
        <w:ind w:firstLine="640"/>
        <w:rPr>
          <w:rFonts w:ascii="Times New Roman" w:hAnsi="Times New Roman" w:eastAsia="仿宋_GB2312" w:cs="Times New Roman"/>
          <w:b/>
          <w:sz w:val="32"/>
          <w:szCs w:val="32"/>
        </w:rPr>
      </w:pPr>
      <w:r>
        <w:rPr>
          <w:rFonts w:ascii="Times New Roman" w:hAnsi="Times New Roman" w:eastAsia="仿宋_GB2312" w:cs="Times New Roman"/>
          <w:b/>
          <w:sz w:val="32"/>
          <w:szCs w:val="32"/>
        </w:rPr>
        <w:t>3、</w:t>
      </w:r>
      <w:r>
        <w:rPr>
          <w:rFonts w:hint="eastAsia" w:ascii="楷体" w:hAnsi="楷体" w:eastAsia="楷体" w:cs="楷体"/>
          <w:b/>
          <w:sz w:val="32"/>
          <w:szCs w:val="32"/>
        </w:rPr>
        <w:t>比上年增减情况</w:t>
      </w:r>
    </w:p>
    <w:p>
      <w:pPr>
        <w:spacing w:line="584" w:lineRule="exact"/>
        <w:ind w:firstLine="640"/>
        <w:rPr>
          <w:rFonts w:ascii="Times New Roman" w:hAnsi="Times New Roman" w:eastAsia="仿宋_GB2312" w:cs="Times New Roman"/>
          <w:sz w:val="32"/>
          <w:szCs w:val="32"/>
        </w:rPr>
      </w:pP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2年预算收支安排</w:t>
      </w:r>
      <w:r>
        <w:rPr>
          <w:rFonts w:hint="eastAsia" w:ascii="Times New Roman" w:hAnsi="Times New Roman" w:eastAsia="仿宋_GB2312" w:cs="Times New Roman"/>
          <w:sz w:val="32"/>
          <w:szCs w:val="32"/>
          <w:lang w:val="en-US" w:eastAsia="zh-CN"/>
        </w:rPr>
        <w:t>3124.13</w:t>
      </w:r>
      <w:r>
        <w:rPr>
          <w:rFonts w:ascii="Times New Roman" w:hAnsi="Times New Roman" w:eastAsia="仿宋_GB2312" w:cs="Times New Roman"/>
          <w:sz w:val="32"/>
          <w:szCs w:val="32"/>
        </w:rPr>
        <w:t>万元，较20</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1年预算增加</w:t>
      </w:r>
      <w:r>
        <w:rPr>
          <w:rFonts w:hint="eastAsia" w:ascii="Times New Roman" w:hAnsi="Times New Roman" w:eastAsia="仿宋_GB2312" w:cs="Times New Roman"/>
          <w:sz w:val="32"/>
          <w:szCs w:val="32"/>
          <w:lang w:val="en-US" w:eastAsia="zh-CN"/>
        </w:rPr>
        <w:t>355.69</w:t>
      </w:r>
      <w:r>
        <w:rPr>
          <w:rFonts w:ascii="Times New Roman" w:hAnsi="Times New Roman" w:eastAsia="仿宋_GB2312" w:cs="Times New Roman"/>
          <w:sz w:val="32"/>
          <w:szCs w:val="32"/>
        </w:rPr>
        <w:t>万元，其中：基本支出增加</w:t>
      </w:r>
      <w:r>
        <w:rPr>
          <w:rFonts w:hint="eastAsia" w:ascii="Times New Roman" w:hAnsi="Times New Roman" w:eastAsia="仿宋_GB2312" w:cs="Times New Roman"/>
          <w:sz w:val="32"/>
          <w:szCs w:val="32"/>
          <w:lang w:val="en-US" w:eastAsia="zh-CN"/>
        </w:rPr>
        <w:t>412.79</w:t>
      </w:r>
      <w:r>
        <w:rPr>
          <w:rFonts w:ascii="Times New Roman" w:hAnsi="Times New Roman" w:eastAsia="仿宋_GB2312" w:cs="Times New Roman"/>
          <w:sz w:val="32"/>
          <w:szCs w:val="32"/>
        </w:rPr>
        <w:t>万元，主要为</w:t>
      </w:r>
      <w:r>
        <w:rPr>
          <w:rFonts w:hint="eastAsia" w:ascii="Times New Roman" w:hAnsi="Times New Roman" w:eastAsia="仿宋_GB2312" w:cs="Times New Roman"/>
          <w:sz w:val="32"/>
          <w:szCs w:val="32"/>
          <w:lang w:eastAsia="zh-CN"/>
        </w:rPr>
        <w:t>人员经费</w:t>
      </w:r>
      <w:r>
        <w:rPr>
          <w:rFonts w:ascii="Times New Roman" w:hAnsi="Times New Roman" w:eastAsia="仿宋_GB2312" w:cs="Times New Roman"/>
          <w:sz w:val="32"/>
          <w:szCs w:val="32"/>
        </w:rPr>
        <w:t>支出；项目支出</w:t>
      </w:r>
      <w:r>
        <w:rPr>
          <w:rFonts w:hint="eastAsia" w:ascii="Times New Roman" w:hAnsi="Times New Roman" w:eastAsia="仿宋_GB2312" w:cs="Times New Roman"/>
          <w:sz w:val="32"/>
          <w:szCs w:val="32"/>
          <w:lang w:eastAsia="zh-CN"/>
        </w:rPr>
        <w:t>减少</w:t>
      </w:r>
      <w:r>
        <w:rPr>
          <w:rFonts w:hint="eastAsia" w:ascii="Times New Roman" w:hAnsi="Times New Roman" w:eastAsia="仿宋_GB2312" w:cs="Times New Roman"/>
          <w:sz w:val="32"/>
          <w:szCs w:val="32"/>
          <w:lang w:val="en-US" w:eastAsia="zh-CN"/>
        </w:rPr>
        <w:t>57.1</w:t>
      </w:r>
      <w:r>
        <w:rPr>
          <w:rFonts w:ascii="Times New Roman" w:hAnsi="Times New Roman" w:eastAsia="仿宋_GB2312" w:cs="Times New Roman"/>
          <w:sz w:val="32"/>
          <w:szCs w:val="32"/>
        </w:rPr>
        <w:t>万元，主要</w:t>
      </w:r>
      <w:r>
        <w:rPr>
          <w:rFonts w:hint="eastAsia" w:ascii="Times New Roman" w:hAnsi="Times New Roman" w:eastAsia="仿宋_GB2312" w:cs="Times New Roman"/>
          <w:sz w:val="32"/>
          <w:szCs w:val="32"/>
          <w:lang w:eastAsia="zh-CN"/>
        </w:rPr>
        <w:t>为廊坊市重要种质资源创新及农、牧业关键技术研究示范</w:t>
      </w:r>
      <w:r>
        <w:rPr>
          <w:rFonts w:ascii="Times New Roman" w:hAnsi="Times New Roman" w:eastAsia="仿宋_GB2312" w:cs="Times New Roman"/>
          <w:sz w:val="32"/>
          <w:szCs w:val="32"/>
        </w:rPr>
        <w:t>项目支出。</w:t>
      </w:r>
    </w:p>
    <w:p>
      <w:pPr>
        <w:autoSpaceDE w:val="0"/>
        <w:autoSpaceDN w:val="0"/>
        <w:adjustRightInd w:val="0"/>
        <w:spacing w:line="584" w:lineRule="exact"/>
        <w:ind w:left="198"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三、机关运行经费安排情况</w:t>
      </w:r>
    </w:p>
    <w:p>
      <w:pPr>
        <w:autoSpaceDE w:val="0"/>
        <w:autoSpaceDN w:val="0"/>
        <w:adjustRightInd w:val="0"/>
        <w:spacing w:line="584" w:lineRule="exact"/>
        <w:ind w:left="198"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2年，我</w:t>
      </w:r>
      <w:r>
        <w:rPr>
          <w:rFonts w:hint="eastAsia" w:ascii="Times New Roman" w:hAnsi="Times New Roman" w:eastAsia="仿宋_GB2312" w:cs="Times New Roman"/>
          <w:sz w:val="32"/>
          <w:szCs w:val="32"/>
          <w:lang w:eastAsia="zh-CN"/>
        </w:rPr>
        <w:t>院</w:t>
      </w:r>
      <w:r>
        <w:rPr>
          <w:rFonts w:ascii="Times New Roman" w:hAnsi="Times New Roman" w:eastAsia="仿宋_GB2312" w:cs="Times New Roman"/>
          <w:sz w:val="32"/>
          <w:szCs w:val="32"/>
        </w:rPr>
        <w:t>机关运行经费共计安排</w:t>
      </w:r>
      <w:r>
        <w:rPr>
          <w:rFonts w:hint="eastAsia" w:ascii="Times New Roman" w:hAnsi="Times New Roman" w:eastAsia="仿宋_GB2312" w:cs="Times New Roman"/>
          <w:sz w:val="32"/>
          <w:szCs w:val="32"/>
          <w:lang w:val="en-US" w:eastAsia="zh-CN"/>
        </w:rPr>
        <w:t>159.91</w:t>
      </w:r>
      <w:r>
        <w:rPr>
          <w:rFonts w:ascii="Times New Roman" w:hAnsi="Times New Roman" w:eastAsia="仿宋_GB2312" w:cs="Times New Roman"/>
          <w:sz w:val="32"/>
          <w:szCs w:val="32"/>
        </w:rPr>
        <w:t>万元，主要用于办公区的日常维修、办公用房水电费、办公用房取暖费、办公用房物业管理费等日常运行支出。</w:t>
      </w:r>
    </w:p>
    <w:p>
      <w:pPr>
        <w:autoSpaceDE w:val="0"/>
        <w:autoSpaceDN w:val="0"/>
        <w:adjustRightInd w:val="0"/>
        <w:spacing w:line="584" w:lineRule="exact"/>
        <w:ind w:left="198" w:firstLine="640" w:firstLineChars="200"/>
        <w:jc w:val="left"/>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四、财政拨款“三公”经费预算情况及增减变化原因</w:t>
      </w:r>
    </w:p>
    <w:p>
      <w:pPr>
        <w:autoSpaceDE w:val="0"/>
        <w:autoSpaceDN w:val="0"/>
        <w:adjustRightInd w:val="0"/>
        <w:spacing w:line="584" w:lineRule="exact"/>
        <w:ind w:left="197" w:leftChars="94"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2年，我</w:t>
      </w:r>
      <w:r>
        <w:rPr>
          <w:rFonts w:hint="eastAsia" w:ascii="Times New Roman" w:hAnsi="Times New Roman" w:eastAsia="仿宋_GB2312" w:cs="Times New Roman"/>
          <w:sz w:val="32"/>
          <w:szCs w:val="32"/>
          <w:lang w:eastAsia="zh-CN"/>
        </w:rPr>
        <w:t>院</w:t>
      </w:r>
      <w:r>
        <w:rPr>
          <w:rFonts w:ascii="Times New Roman" w:hAnsi="Times New Roman" w:eastAsia="仿宋_GB2312" w:cs="Times New Roman"/>
          <w:sz w:val="32"/>
          <w:szCs w:val="32"/>
        </w:rPr>
        <w:t>财政拨款“三公”经费预算安排</w:t>
      </w:r>
      <w:r>
        <w:rPr>
          <w:rFonts w:hint="eastAsia" w:ascii="Times New Roman" w:hAnsi="Times New Roman" w:eastAsia="仿宋_GB2312" w:cs="Times New Roman"/>
          <w:sz w:val="32"/>
          <w:szCs w:val="32"/>
          <w:lang w:val="en-US" w:eastAsia="zh-CN"/>
        </w:rPr>
        <w:t xml:space="preserve"> 9.15</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其中</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因公出国（境）费</w:t>
      </w:r>
      <w:r>
        <w:rPr>
          <w:rFonts w:hint="eastAsia" w:ascii="Times New Roman" w:hAnsi="Times New Roman" w:eastAsia="仿宋_GB2312" w:cs="Times New Roman"/>
          <w:sz w:val="32"/>
          <w:szCs w:val="32"/>
          <w:lang w:val="en-US" w:eastAsia="zh-CN"/>
        </w:rPr>
        <w:t xml:space="preserve"> 0</w:t>
      </w:r>
      <w:r>
        <w:rPr>
          <w:rFonts w:ascii="Times New Roman" w:hAnsi="Times New Roman" w:eastAsia="仿宋_GB2312" w:cs="Times New Roman"/>
          <w:sz w:val="32"/>
          <w:szCs w:val="32"/>
        </w:rPr>
        <w:t>万元；公务用车购置及运维费</w:t>
      </w:r>
      <w:r>
        <w:rPr>
          <w:rFonts w:hint="eastAsia" w:ascii="Times New Roman" w:hAnsi="Times New Roman" w:eastAsia="仿宋_GB2312" w:cs="Times New Roman"/>
          <w:sz w:val="32"/>
          <w:szCs w:val="32"/>
          <w:lang w:val="en-US" w:eastAsia="zh-CN"/>
        </w:rPr>
        <w:t>8.73</w:t>
      </w:r>
      <w:r>
        <w:rPr>
          <w:rFonts w:ascii="Times New Roman" w:hAnsi="Times New Roman" w:eastAsia="仿宋_GB2312" w:cs="Times New Roman"/>
          <w:sz w:val="32"/>
          <w:szCs w:val="32"/>
        </w:rPr>
        <w:t>万元（其中：公务用车购置费为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万元，公务用车运维费</w:t>
      </w:r>
      <w:r>
        <w:rPr>
          <w:rFonts w:hint="eastAsia" w:ascii="Times New Roman" w:hAnsi="Times New Roman" w:eastAsia="仿宋_GB2312" w:cs="Times New Roman"/>
          <w:sz w:val="32"/>
          <w:szCs w:val="32"/>
          <w:lang w:val="en-US" w:eastAsia="zh-CN"/>
        </w:rPr>
        <w:t>8.73</w:t>
      </w:r>
      <w:r>
        <w:rPr>
          <w:rFonts w:ascii="Times New Roman" w:hAnsi="Times New Roman" w:eastAsia="仿宋_GB2312" w:cs="Times New Roman"/>
          <w:sz w:val="32"/>
          <w:szCs w:val="32"/>
        </w:rPr>
        <w:t>万元)；公务接待费</w:t>
      </w:r>
      <w:r>
        <w:rPr>
          <w:rFonts w:hint="eastAsia" w:ascii="Times New Roman" w:hAnsi="Times New Roman" w:eastAsia="仿宋_GB2312" w:cs="Times New Roman"/>
          <w:sz w:val="32"/>
          <w:szCs w:val="32"/>
          <w:lang w:val="en-US" w:eastAsia="zh-CN"/>
        </w:rPr>
        <w:t>0.42</w:t>
      </w:r>
      <w:r>
        <w:rPr>
          <w:rFonts w:ascii="Times New Roman" w:hAnsi="Times New Roman" w:eastAsia="仿宋_GB2312" w:cs="Times New Roman"/>
          <w:sz w:val="32"/>
          <w:szCs w:val="32"/>
        </w:rPr>
        <w:t>万元。与20</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1年</w:t>
      </w:r>
      <w:r>
        <w:rPr>
          <w:rFonts w:hint="eastAsia" w:ascii="Times New Roman" w:hAnsi="Times New Roman" w:eastAsia="仿宋_GB2312" w:cs="Times New Roman"/>
          <w:sz w:val="32"/>
          <w:szCs w:val="32"/>
        </w:rPr>
        <w:t>相比持平</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无增减变化。</w:t>
      </w:r>
    </w:p>
    <w:p>
      <w:pPr>
        <w:spacing w:line="584" w:lineRule="exact"/>
        <w:ind w:firstLine="960" w:firstLineChars="300"/>
        <w:rPr>
          <w:rFonts w:ascii="Times New Roman" w:hAnsi="Times New Roman" w:eastAsia="黑体" w:cs="Times New Roman"/>
          <w:sz w:val="32"/>
          <w:szCs w:val="32"/>
        </w:rPr>
      </w:pPr>
      <w:r>
        <w:rPr>
          <w:rFonts w:ascii="Times New Roman" w:hAnsi="Times New Roman" w:eastAsia="黑体" w:cs="Times New Roman"/>
          <w:sz w:val="32"/>
          <w:szCs w:val="32"/>
        </w:rPr>
        <w:t>五、预算绩效信息</w:t>
      </w:r>
    </w:p>
    <w:p>
      <w:pPr>
        <w:spacing w:line="584" w:lineRule="exact"/>
        <w:ind w:firstLine="960" w:firstLineChars="300"/>
        <w:rPr>
          <w:rFonts w:ascii="Times New Roman" w:hAnsi="Times New Roman" w:eastAsia="黑体" w:cs="Times New Roman"/>
          <w:sz w:val="32"/>
          <w:szCs w:val="32"/>
        </w:rPr>
      </w:pPr>
      <w:r>
        <w:rPr>
          <w:rFonts w:hint="eastAsia" w:ascii="Times New Roman" w:hAnsi="Times New Roman" w:eastAsia="黑体" w:cs="Times New Roman"/>
          <w:sz w:val="32"/>
          <w:szCs w:val="32"/>
        </w:rPr>
        <w:t>第一部分 部门整体绩效目标</w:t>
      </w:r>
    </w:p>
    <w:p>
      <w:pPr>
        <w:spacing w:line="584" w:lineRule="exact"/>
        <w:ind w:firstLine="642" w:firstLineChars="200"/>
        <w:rPr>
          <w:rFonts w:ascii="楷体_GB2312" w:eastAsia="楷体_GB2312" w:cs="Times New Roman"/>
          <w:b/>
          <w:sz w:val="32"/>
          <w:szCs w:val="32"/>
        </w:rPr>
      </w:pPr>
      <w:r>
        <w:rPr>
          <w:rFonts w:hint="eastAsia" w:ascii="楷体_GB2312" w:eastAsia="楷体_GB2312" w:cs="Times New Roman"/>
          <w:b/>
          <w:sz w:val="32"/>
          <w:szCs w:val="32"/>
        </w:rPr>
        <w:t>（一）总体绩效目标</w:t>
      </w:r>
    </w:p>
    <w:p>
      <w:pPr>
        <w:pStyle w:val="21"/>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2022年度，廊坊市农林科学院紧紧围绕本部门职责，以习近平新时代中国特色社会主义思想为指导，在市委、市政府的领导下，认真贯彻执行上级有关农业科研方面的政策和规定，在科技服务方面、示范推广方面、科研创新方面、平台建设方面取得新成效，实现新跨越。在科技服务方面，印制培训手册、标准汇编及农技知识等宣传材料数量3500本。在示范推广方面，开展11个子项目的示范，示范新技术、新品种35个以上。在科研创新方面，开展8个重要农业种质资源创新及农、牧业关键技术研究工作，引进种质资源不少于55个。在科研平台建设方面，开展科技成果示范基地（陈家务）和科研实验基地（潘场）全年日常维护管理工作，保障本院科研、示范推广部门职能工作顺利开展。</w:t>
      </w:r>
    </w:p>
    <w:p>
      <w:pPr>
        <w:spacing w:line="584" w:lineRule="exact"/>
        <w:ind w:firstLine="642" w:firstLineChars="200"/>
        <w:rPr>
          <w:rFonts w:ascii="楷体_GB2312" w:eastAsia="楷体_GB2312" w:cs="Times New Roman"/>
          <w:b/>
          <w:sz w:val="32"/>
          <w:szCs w:val="32"/>
        </w:rPr>
      </w:pPr>
      <w:r>
        <w:rPr>
          <w:rFonts w:hint="eastAsia" w:ascii="楷体_GB2312" w:eastAsia="楷体_GB2312" w:cs="Times New Roman"/>
          <w:b/>
          <w:sz w:val="32"/>
          <w:szCs w:val="32"/>
        </w:rPr>
        <w:t>（二）分项绩效目标</w:t>
      </w:r>
    </w:p>
    <w:p>
      <w:pPr>
        <w:pStyle w:val="22"/>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（一）着力抓好科技服务</w:t>
      </w:r>
    </w:p>
    <w:p>
      <w:pPr>
        <w:pStyle w:val="22"/>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绩效目标：通过项目的开展切实提高广大农业种植、养殖者科技获得感，为其带去最新的农业增产增收品种及技术，切实使其提高收入、得到实惠，提升科技对农业的贡献率、达到科技兴农富民的效果，激发广大农民内生动力。</w:t>
      </w:r>
    </w:p>
    <w:p>
      <w:pPr>
        <w:pStyle w:val="22"/>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绩效指标：完成印刷全年各类专题活动、农技知识用宣传材料3500本。</w:t>
      </w:r>
    </w:p>
    <w:p>
      <w:pPr>
        <w:pStyle w:val="22"/>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（二）着力抓好引进示范推广</w:t>
      </w:r>
    </w:p>
    <w:p>
      <w:pPr>
        <w:pStyle w:val="22"/>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绩效目标：通过在开展廊坊市农林科学院优质新品种、新技术示范项目，结合本地区农、牧业种（养）植（殖）现状，将院自主选育优良品种及配套栽培技术和引进优良品种及配套栽培技术进行示范，将示范推广观摩和技术指导服务有机结合起来，提高广大农户的科技获得感。</w:t>
      </w:r>
    </w:p>
    <w:p>
      <w:pPr>
        <w:pStyle w:val="22"/>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绩效指标：开展11个示范子项目，示范新技术、新品种35个以上。</w:t>
      </w:r>
    </w:p>
    <w:p>
      <w:pPr>
        <w:pStyle w:val="22"/>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（三）着力抓好科研创新</w:t>
      </w:r>
    </w:p>
    <w:p>
      <w:pPr>
        <w:pStyle w:val="22"/>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绩效目标：通过开展廊坊市重要农业种质资源创新及农、牧业关键技术研究项目，丰富我市农业种质资源数量、解决一部分农业生产关键技术难题，为我市农业科学、高速发展提供有力的技术支撑。</w:t>
      </w:r>
    </w:p>
    <w:p>
      <w:pPr>
        <w:pStyle w:val="22"/>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绩效指标：开展涉及农、牧业关键技术研究子项目8个，引进种质资源不少于55个。</w:t>
      </w:r>
    </w:p>
    <w:p>
      <w:pPr>
        <w:pStyle w:val="22"/>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（四）着力抓好科研平台建设</w:t>
      </w:r>
    </w:p>
    <w:p>
      <w:pPr>
        <w:pStyle w:val="22"/>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绩效目标：通过项目的实施，完成科研实验基地（潘场）和科技成果示范基地（陈家务）2个基地公共区域全年日常维护工作。提升农业科研工作效率、农业研究项目执行人满意度。</w:t>
      </w:r>
    </w:p>
    <w:p>
      <w:pPr>
        <w:pStyle w:val="22"/>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绩效指标：开展占地289亩的两个基地日常维护工作，完成2500米水渠修复工作，改造特需棚室1个，工程质量合格率100%，保证基地正常运转，基地使用人员满意度95%以上。</w:t>
      </w:r>
    </w:p>
    <w:p>
      <w:pPr>
        <w:pStyle w:val="22"/>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（五）保证机构正常运转</w:t>
      </w:r>
    </w:p>
    <w:p>
      <w:pPr>
        <w:pStyle w:val="22"/>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以全院中心工作为目标，通过财政基本支出预算，不断优化支出结构，追求投入成本与产出效益的性价比，在充分保证本部门正常运转前提下，各项支出安排保证科学、合理、必需的原则，着力提高资金使用的经济效益和社会效益。</w:t>
      </w:r>
    </w:p>
    <w:p>
      <w:pPr>
        <w:spacing w:line="584" w:lineRule="exact"/>
        <w:ind w:firstLine="642" w:firstLineChars="200"/>
        <w:rPr>
          <w:rFonts w:ascii="楷体_GB2312" w:eastAsia="楷体_GB2312" w:cs="Times New Roman"/>
          <w:b/>
          <w:sz w:val="32"/>
          <w:szCs w:val="32"/>
        </w:rPr>
      </w:pPr>
      <w:r>
        <w:rPr>
          <w:rFonts w:hint="eastAsia" w:ascii="楷体_GB2312" w:eastAsia="楷体_GB2312" w:cs="Times New Roman"/>
          <w:b/>
          <w:sz w:val="32"/>
          <w:szCs w:val="32"/>
        </w:rPr>
        <w:t>（三）工作保障措施</w:t>
      </w:r>
    </w:p>
    <w:p>
      <w:pPr>
        <w:pStyle w:val="23"/>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（一）制定激励措施</w:t>
      </w:r>
    </w:p>
    <w:p>
      <w:pPr>
        <w:pStyle w:val="23"/>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要求正高级涉农专业技术人员，做为学科带头人，组建一个创新团队，制定详尽的工作计划和实施方案，实现“每季有进展、一年一台阶、五年出成果”的目标，最终成果要至少达到省级科技进步三等奖以上的水平，凡是课题获得省级科技进步三等奖的团队负责人，在原有奖励政策基础上，职称晋级等方面享有绝对优先权。鼓励中级或者副高级科技人员积极尝试，创建自己的团队，对于获得省级科技进步三等奖以上成果的，团队负责人在原有奖励政策基础上，职称晋升等方面同样享有绝对优先权。</w:t>
      </w:r>
    </w:p>
    <w:p>
      <w:pPr>
        <w:pStyle w:val="23"/>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（二）创新工作方法</w:t>
      </w:r>
    </w:p>
    <w:p>
      <w:pPr>
        <w:pStyle w:val="23"/>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开展农业科技精准服务，打造精品及特色两大示范基地；精准对接重点农业园区、农业合作社、农业龙头企业和种植、养殖大户，培养科技兴农致富精英；通过微信、电话、视频等形式接受有效咨询，通过“面对面”方式积极深入基层一线、田间地头开展技术服务，深入落实服务“三农”、服务乡村振兴、服务全市大局的职责担当，切实有效提高广大农民的科技素质和农业生产的科技含量，促进农业增效、农民增收，进一步强化科技在农业农村经济发展中的支撑和引领作用。</w:t>
      </w:r>
    </w:p>
    <w:p>
      <w:pPr>
        <w:pStyle w:val="23"/>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（三）加快人才队伍建设</w:t>
      </w:r>
    </w:p>
    <w:p>
      <w:pPr>
        <w:pStyle w:val="23"/>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注重人才培养。紧紧抓住培养、引进、使用三大环节。着力加大人才引进力度。引进以硕士研究生为主体的专业人才，建设一流科技人才队伍，进一步增强科研研发实力。</w:t>
      </w:r>
    </w:p>
    <w:p>
      <w:pPr>
        <w:pStyle w:val="23"/>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（四）完善制度建设</w:t>
      </w:r>
    </w:p>
    <w:p>
      <w:pPr>
        <w:pStyle w:val="23"/>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制定完善一批既管当前又管长远的规章制度，高度重视预算绩效管理，严格执行《廊坊市农林科学院预算绩效管理办法》，强化资金管理，严格按照《廊坊市农林科学院财务管理办法》等制度实施，为全年预算绩效目标的实现奠定制度基础。</w:t>
      </w:r>
    </w:p>
    <w:p>
      <w:pPr>
        <w:pStyle w:val="23"/>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（五）加强支出管理</w:t>
      </w:r>
    </w:p>
    <w:p>
      <w:pPr>
        <w:pStyle w:val="23"/>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通过预算编制严格把关预算资金的科学性、合理性，敦促涉及政府采购事项各项目负责人，加快履行政府采购相关手续，尽快启动项目，及时完成资金支付，确保 6 月底、9 月底资金支付完成率达到 60%和90%。</w:t>
      </w:r>
    </w:p>
    <w:p>
      <w:pPr>
        <w:pStyle w:val="23"/>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（六）加强绩效运行监控</w:t>
      </w:r>
    </w:p>
    <w:p>
      <w:pPr>
        <w:pStyle w:val="23"/>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按要求开展绩效运行监控，发现问题及时采取有效措施纠偏纠错，确保绩效目标如期保质保量实现。</w:t>
      </w:r>
    </w:p>
    <w:p>
      <w:pPr>
        <w:pStyle w:val="23"/>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（七）做好绩效自评</w:t>
      </w:r>
    </w:p>
    <w:p>
      <w:pPr>
        <w:pStyle w:val="23"/>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严格按财政部门要求开展上年度部门预算绩效自评和重点评价工作，对评价中发现的问题及时反馈给项目负责人，及时整改，调整优化支出结构，提高财政资金使用效益。</w:t>
      </w:r>
    </w:p>
    <w:p>
      <w:pPr>
        <w:pStyle w:val="23"/>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（八）规范财务资产管理</w:t>
      </w:r>
    </w:p>
    <w:p>
      <w:pPr>
        <w:pStyle w:val="23"/>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及时根据新的文件精神和要求，修订完善财务管理办法，严格审批程序，严格按照国有资产管理办法对固定资产进行登记、使用和报废处置，做到支出合理、物尽其用。</w:t>
      </w:r>
    </w:p>
    <w:p>
      <w:pPr>
        <w:pStyle w:val="23"/>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（九）加强内部监督</w:t>
      </w:r>
    </w:p>
    <w:p>
      <w:pPr>
        <w:pStyle w:val="23"/>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认真履行《廊坊市农林科学院督查督办制度》《廊坊市农历科学院预算绩效管理办法》，对绩效运行情况、重大支出决策、对外投资、资产处置及其他重要经济业务事项的决策和执行进行督导，对会计资料定期进行自查，每年度终了聘请第三方会计师事务所对财务账目进行审计工作并配合做好审计、财政监督等外部监督工作，确保财政资金安全有效。</w:t>
      </w:r>
    </w:p>
    <w:p>
      <w:pPr>
        <w:pStyle w:val="23"/>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（十）加强宣传培训调研</w:t>
      </w:r>
    </w:p>
    <w:p>
      <w:pPr>
        <w:pStyle w:val="23"/>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加强人员培训，提高本部门职工业务素质，加强调研，提出优化财政资金配置，提高资金使用效益的意见建议，加大宣传力度，强化预算绩效管理意识，促进预算绩效管理水平进一步提升。</w:t>
      </w:r>
    </w:p>
    <w:p>
      <w:pPr>
        <w:numPr>
          <w:ilvl w:val="0"/>
          <w:numId w:val="1"/>
        </w:numPr>
        <w:overflowPunct w:val="0"/>
        <w:adjustRightInd w:val="0"/>
        <w:snapToGrid w:val="0"/>
        <w:spacing w:after="156" w:afterLines="50" w:line="580" w:lineRule="exact"/>
        <w:ind w:firstLine="629" w:firstLineChars="196"/>
        <w:jc w:val="left"/>
        <w:rPr>
          <w:rFonts w:hint="eastAsia" w:ascii="楷体_GB2312" w:eastAsia="楷体_GB2312" w:cs="Times New Roman"/>
          <w:b/>
          <w:sz w:val="32"/>
          <w:szCs w:val="32"/>
        </w:rPr>
      </w:pPr>
      <w:r>
        <w:rPr>
          <w:rFonts w:hint="eastAsia" w:ascii="楷体_GB2312" w:eastAsia="楷体_GB2312" w:cs="Times New Roman"/>
          <w:b/>
          <w:sz w:val="32"/>
          <w:szCs w:val="32"/>
        </w:rPr>
        <w:t>部门整体支出绩效指标</w:t>
      </w:r>
    </w:p>
    <w:tbl>
      <w:tblPr>
        <w:tblStyle w:val="10"/>
        <w:tblpPr w:leftFromText="180" w:rightFromText="180" w:vertAnchor="text" w:horzAnchor="page" w:tblpX="1467" w:tblpY="1036"/>
        <w:tblOverlap w:val="never"/>
        <w:tblW w:w="9720" w:type="dxa"/>
        <w:tblInd w:w="0" w:type="dxa"/>
        <w:tblLayout w:type="autofit"/>
        <w:tblCellMar>
          <w:top w:w="0" w:type="dxa"/>
          <w:left w:w="108" w:type="dxa"/>
          <w:bottom w:w="0" w:type="dxa"/>
          <w:right w:w="108" w:type="dxa"/>
        </w:tblCellMar>
      </w:tblPr>
      <w:tblGrid>
        <w:gridCol w:w="1080"/>
        <w:gridCol w:w="1080"/>
        <w:gridCol w:w="1080"/>
        <w:gridCol w:w="1080"/>
        <w:gridCol w:w="1080"/>
        <w:gridCol w:w="1080"/>
        <w:gridCol w:w="1080"/>
        <w:gridCol w:w="1080"/>
        <w:gridCol w:w="1080"/>
      </w:tblGrid>
      <w:tr>
        <w:tblPrEx>
          <w:tblCellMar>
            <w:top w:w="0" w:type="dxa"/>
            <w:left w:w="108" w:type="dxa"/>
            <w:bottom w:w="0" w:type="dxa"/>
            <w:right w:w="108" w:type="dxa"/>
          </w:tblCellMar>
        </w:tblPrEx>
        <w:trPr>
          <w:trHeight w:val="48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方正书宋_GBK" w:eastAsia="方正书宋_GBK"/>
                <w:b/>
              </w:rPr>
            </w:pPr>
            <w:r>
              <w:rPr>
                <w:rFonts w:hint="default" w:ascii="方正书宋_GBK" w:eastAsia="方正书宋_GBK"/>
                <w:b/>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方正书宋_GBK" w:eastAsia="方正书宋_GBK"/>
                <w:b/>
              </w:rPr>
            </w:pPr>
            <w:r>
              <w:rPr>
                <w:rFonts w:hint="default" w:ascii="方正书宋_GBK" w:eastAsia="方正书宋_GBK"/>
                <w:b/>
              </w:rPr>
              <w:t>二级指标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方正书宋_GBK" w:eastAsia="方正书宋_GBK"/>
                <w:b/>
              </w:rPr>
            </w:pPr>
            <w:r>
              <w:rPr>
                <w:rFonts w:hint="default" w:ascii="方正书宋_GBK" w:eastAsia="方正书宋_GBK"/>
                <w:b/>
              </w:rPr>
              <w:t>三级指标　</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color w:val="000000"/>
                <w:szCs w:val="21"/>
              </w:rPr>
            </w:pPr>
            <w:r>
              <w:rPr>
                <w:rFonts w:hint="default" w:ascii="方正书宋_GBK" w:eastAsia="方正书宋_GBK"/>
                <w:b/>
              </w:rPr>
              <w:t>评（扣）分标准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方正书宋_GBK" w:eastAsia="方正书宋_GBK"/>
                <w:b/>
              </w:rPr>
            </w:pPr>
            <w:r>
              <w:rPr>
                <w:rFonts w:hint="default" w:ascii="方正书宋_GBK" w:eastAsia="方正书宋_GBK"/>
                <w:b/>
              </w:rPr>
              <w:t>绩效指标描述</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方正书宋_GBK" w:eastAsia="方正书宋_GBK"/>
                <w:b/>
              </w:rPr>
            </w:pPr>
            <w:r>
              <w:rPr>
                <w:rFonts w:hint="default" w:ascii="方正书宋_GBK" w:eastAsia="方正书宋_GBK"/>
                <w:b/>
              </w:rPr>
              <w:t>指标值</w:t>
            </w:r>
          </w:p>
        </w:tc>
        <w:tc>
          <w:tcPr>
            <w:tcW w:w="1080"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hint="default" w:ascii="方正书宋_GBK" w:eastAsia="方正书宋_GBK"/>
                <w:b/>
              </w:rPr>
            </w:pPr>
            <w:r>
              <w:rPr>
                <w:rFonts w:hint="default" w:ascii="方正书宋_GBK" w:eastAsia="方正书宋_GBK"/>
                <w:b/>
              </w:rPr>
              <w:t>指标值确定依据　</w:t>
            </w:r>
          </w:p>
        </w:tc>
      </w:tr>
      <w:tr>
        <w:tblPrEx>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default" w:ascii="Times New Roman" w:hAnsi="Times New Roman" w:eastAsia="宋体" w:cs="Times New Roman"/>
                <w:b/>
                <w:bCs/>
                <w:color w:val="000000"/>
                <w:szCs w:val="21"/>
              </w:rPr>
            </w:pPr>
          </w:p>
        </w:tc>
        <w:tc>
          <w:tcPr>
            <w:tcW w:w="108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default" w:ascii="Times New Roman" w:hAnsi="Times New Roman" w:eastAsia="宋体" w:cs="Times New Roman"/>
                <w:b/>
                <w:bCs/>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Pr>
          <w:p>
            <w:pPr>
              <w:widowControl/>
              <w:jc w:val="center"/>
              <w:textAlignment w:val="center"/>
              <w:rPr>
                <w:rFonts w:hint="default" w:ascii="方正书宋_GBK" w:eastAsia="方正书宋_GBK"/>
                <w:b/>
              </w:rPr>
            </w:pPr>
            <w:r>
              <w:rPr>
                <w:rFonts w:hint="default" w:ascii="方正书宋_GBK" w:eastAsia="方正书宋_GBK"/>
                <w:b/>
              </w:rPr>
              <w:t>符号</w:t>
            </w:r>
          </w:p>
        </w:tc>
        <w:tc>
          <w:tcPr>
            <w:tcW w:w="1080" w:type="dxa"/>
            <w:tcBorders>
              <w:top w:val="single" w:color="000000" w:sz="4" w:space="0"/>
              <w:left w:val="single" w:color="000000" w:sz="4" w:space="0"/>
              <w:bottom w:val="single" w:color="000000" w:sz="4" w:space="0"/>
              <w:right w:val="single" w:color="000000" w:sz="4" w:space="0"/>
            </w:tcBorders>
            <w:shd w:val="clear" w:color="auto" w:fill="auto"/>
          </w:tcPr>
          <w:p>
            <w:pPr>
              <w:widowControl/>
              <w:jc w:val="center"/>
              <w:textAlignment w:val="center"/>
              <w:rPr>
                <w:rFonts w:hint="default" w:ascii="方正书宋_GBK" w:eastAsia="方正书宋_GBK"/>
                <w:b/>
              </w:rPr>
            </w:pPr>
            <w:r>
              <w:rPr>
                <w:rFonts w:hint="default" w:ascii="方正书宋_GBK" w:eastAsia="方正书宋_GBK"/>
                <w:b/>
              </w:rPr>
              <w:t>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tcPr>
          <w:p>
            <w:pPr>
              <w:widowControl/>
              <w:jc w:val="center"/>
              <w:textAlignment w:val="center"/>
              <w:rPr>
                <w:rFonts w:hint="default" w:ascii="方正书宋_GBK" w:eastAsia="方正书宋_GBK"/>
                <w:b/>
              </w:rPr>
            </w:pPr>
            <w:r>
              <w:rPr>
                <w:rFonts w:hint="default" w:ascii="方正书宋_GBK" w:eastAsia="方正书宋_GBK"/>
                <w:b/>
              </w:rPr>
              <w:t>单位</w:t>
            </w:r>
          </w:p>
        </w:tc>
        <w:tc>
          <w:tcPr>
            <w:tcW w:w="1080" w:type="dxa"/>
            <w:vMerge w:val="continue"/>
            <w:tcBorders>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b/>
                <w:bCs/>
                <w:color w:val="000000"/>
                <w:szCs w:val="21"/>
              </w:rPr>
            </w:pPr>
          </w:p>
        </w:tc>
      </w:tr>
      <w:tr>
        <w:tblPrEx>
          <w:tblCellMar>
            <w:top w:w="0" w:type="dxa"/>
            <w:left w:w="108" w:type="dxa"/>
            <w:bottom w:w="0" w:type="dxa"/>
            <w:right w:w="108" w:type="dxa"/>
          </w:tblCellMar>
        </w:tblPrEx>
        <w:trPr>
          <w:trHeight w:val="1020" w:hRule="atLeast"/>
        </w:trPr>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lang w:bidi="ar"/>
              </w:rPr>
              <w:t>部门产出</w:t>
            </w: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Times New Roman" w:hAnsi="Times New Roman" w:cs="Times New Roman" w:eastAsiaTheme="majorEastAsia"/>
                <w:color w:val="000000"/>
                <w:szCs w:val="21"/>
              </w:rPr>
            </w:pPr>
            <w:r>
              <w:rPr>
                <w:rFonts w:hint="default" w:ascii="Times New Roman" w:hAnsi="Times New Roman" w:cs="Times New Roman" w:eastAsiaTheme="majorEastAsia"/>
                <w:color w:val="000000"/>
                <w:kern w:val="0"/>
                <w:szCs w:val="21"/>
                <w:lang w:bidi="ar"/>
              </w:rPr>
              <w:t>数量</w:t>
            </w: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color w:val="000000"/>
                <w:sz w:val="20"/>
                <w:szCs w:val="20"/>
              </w:rPr>
            </w:pPr>
            <w:r>
              <w:rPr>
                <w:rFonts w:hint="default" w:ascii="方正书宋_GBK" w:eastAsia="方正书宋_GBK"/>
                <w:lang w:eastAsia="zh-CN"/>
              </w:rPr>
              <w:t>示范项目实施数量</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全部完成得满分，每减少1个，扣权重分的10%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示范项目实施项数情况</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eastAsia" w:ascii="方正书宋_GBK" w:eastAsia="方正书宋_GBK"/>
                <w:lang w:val="en-US" w:eastAsia="zh-CN"/>
              </w:rPr>
            </w:pPr>
            <w:r>
              <w:rPr>
                <w:rFonts w:hint="default" w:ascii="方正书宋_GBK" w:eastAsia="方正书宋_GBK"/>
                <w:lang w:val="en-US" w:eastAsia="zh-CN"/>
              </w:rPr>
              <w:t>1</w:t>
            </w:r>
            <w:r>
              <w:rPr>
                <w:rFonts w:hint="eastAsia" w:ascii="方正书宋_GBK" w:eastAsia="方正书宋_GBK"/>
                <w:lang w:val="en-US" w:eastAsia="zh-CN"/>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val="en-US" w:eastAsia="zh-CN"/>
              </w:rPr>
            </w:pPr>
            <w:r>
              <w:rPr>
                <w:rFonts w:hint="default" w:ascii="方正书宋_GBK" w:eastAsia="方正书宋_GBK"/>
                <w:lang w:val="en-US" w:eastAsia="zh-CN"/>
              </w:rPr>
              <w:t>计划标准</w:t>
            </w:r>
          </w:p>
        </w:tc>
      </w:tr>
      <w:tr>
        <w:tblPrEx>
          <w:tblCellMar>
            <w:top w:w="0" w:type="dxa"/>
            <w:left w:w="108" w:type="dxa"/>
            <w:bottom w:w="0" w:type="dxa"/>
            <w:right w:w="108" w:type="dxa"/>
          </w:tblCellMar>
        </w:tblPrEx>
        <w:trPr>
          <w:trHeight w:val="120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eastAsia="仿宋_GB2312" w:cs="Times New Roman"/>
                <w:color w:val="000000"/>
                <w:szCs w:val="21"/>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eastAsia="仿宋_GB2312" w:cs="Times New Roman"/>
                <w:color w:val="000000"/>
                <w:szCs w:val="21"/>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新品种、新技术示范个数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全部完成得满分，每减少2个，扣权重分的10%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新品种、新技术示范个数情况</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eastAsia" w:ascii="方正书宋_GBK" w:eastAsia="方正书宋_GBK"/>
                <w:lang w:val="en-US" w:eastAsia="zh-CN"/>
              </w:rPr>
              <w:t>35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val="en-US" w:eastAsia="zh-CN"/>
              </w:rPr>
            </w:pPr>
            <w:r>
              <w:rPr>
                <w:rFonts w:hint="default" w:ascii="方正书宋_GBK" w:eastAsia="方正书宋_GBK"/>
                <w:lang w:val="en-US" w:eastAsia="zh-CN"/>
              </w:rPr>
              <w:t>计划标准</w:t>
            </w:r>
          </w:p>
        </w:tc>
      </w:tr>
      <w:tr>
        <w:tblPrEx>
          <w:tblCellMar>
            <w:top w:w="0" w:type="dxa"/>
            <w:left w:w="108" w:type="dxa"/>
            <w:bottom w:w="0" w:type="dxa"/>
            <w:right w:w="108" w:type="dxa"/>
          </w:tblCellMar>
        </w:tblPrEx>
        <w:trPr>
          <w:trHeight w:val="120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eastAsia="仿宋_GB2312" w:cs="Times New Roman"/>
                <w:color w:val="000000"/>
                <w:szCs w:val="21"/>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eastAsia="仿宋_GB2312" w:cs="Times New Roman"/>
                <w:color w:val="000000"/>
                <w:szCs w:val="21"/>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引进新品种种质资源数量</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全部完成得满分，每减少5个，扣除权重分的10%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考核研究类项目引进新品种种质资源数量情况</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eastAsia" w:ascii="方正书宋_GBK" w:eastAsia="方正书宋_GBK"/>
                <w:lang w:val="en-US" w:eastAsia="zh-CN"/>
              </w:rPr>
              <w:t>55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val="en-US" w:eastAsia="zh-CN"/>
              </w:rPr>
            </w:pPr>
            <w:r>
              <w:rPr>
                <w:rFonts w:hint="default" w:ascii="方正书宋_GBK" w:eastAsia="方正书宋_GBK"/>
                <w:lang w:val="en-US" w:eastAsia="zh-CN"/>
              </w:rPr>
              <w:t>计划标准</w:t>
            </w:r>
          </w:p>
        </w:tc>
      </w:tr>
      <w:tr>
        <w:tblPrEx>
          <w:tblCellMar>
            <w:top w:w="0" w:type="dxa"/>
            <w:left w:w="108" w:type="dxa"/>
            <w:bottom w:w="0" w:type="dxa"/>
            <w:right w:w="108" w:type="dxa"/>
          </w:tblCellMar>
        </w:tblPrEx>
        <w:trPr>
          <w:trHeight w:val="120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eastAsia="仿宋_GB2312" w:cs="Times New Roman"/>
                <w:color w:val="000000"/>
                <w:szCs w:val="21"/>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eastAsia="仿宋_GB2312" w:cs="Times New Roman"/>
                <w:color w:val="000000"/>
                <w:szCs w:val="21"/>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研究项目数量</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全部完成得满分，每减少1个，扣除权重分的10%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考核种质资源创新及农、牧业关键技术研究项目个数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eastAsia" w:ascii="方正书宋_GBK" w:eastAsia="方正书宋_GBK"/>
                <w:lang w:val="en-US" w:eastAsia="zh-CN"/>
              </w:rPr>
            </w:pPr>
            <w:r>
              <w:rPr>
                <w:rFonts w:hint="eastAsia"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eastAsia" w:ascii="方正书宋_GBK" w:eastAsia="方正书宋_GBK"/>
                <w:lang w:val="en-US" w:eastAsia="zh-CN"/>
              </w:rPr>
            </w:pPr>
            <w:r>
              <w:rPr>
                <w:rFonts w:hint="eastAsia" w:ascii="方正书宋_GBK" w:eastAsia="方正书宋_GBK"/>
                <w:lang w:val="en-US" w:eastAsia="zh-CN"/>
              </w:rPr>
              <w:t>8</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个</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hint="default" w:ascii="方正书宋_GBK" w:eastAsia="方正书宋_GBK"/>
                <w:lang w:eastAsia="zh-CN"/>
              </w:rPr>
            </w:pPr>
            <w:r>
              <w:rPr>
                <w:rFonts w:hint="default" w:ascii="方正书宋_GBK" w:eastAsia="方正书宋_GBK"/>
                <w:lang w:val="en-US" w:eastAsia="zh-CN"/>
              </w:rPr>
              <w:t>计划标准</w:t>
            </w:r>
          </w:p>
        </w:tc>
      </w:tr>
      <w:tr>
        <w:tblPrEx>
          <w:tblCellMar>
            <w:top w:w="0" w:type="dxa"/>
            <w:left w:w="108" w:type="dxa"/>
            <w:bottom w:w="0" w:type="dxa"/>
            <w:right w:w="108" w:type="dxa"/>
          </w:tblCellMar>
        </w:tblPrEx>
        <w:trPr>
          <w:trHeight w:val="96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eastAsia="仿宋_GB2312" w:cs="Times New Roman"/>
                <w:color w:val="000000"/>
                <w:szCs w:val="21"/>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eastAsia="仿宋_GB2312" w:cs="Times New Roman"/>
                <w:color w:val="000000"/>
                <w:szCs w:val="21"/>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维护基地面积</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完成得满分，否则不得分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主要考核维护管理基地占地面积情况</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289</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亩</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val="en-US" w:eastAsia="zh-CN"/>
              </w:rPr>
            </w:pPr>
            <w:r>
              <w:rPr>
                <w:rFonts w:hint="default" w:ascii="方正书宋_GBK" w:eastAsia="方正书宋_GBK"/>
                <w:lang w:eastAsia="zh-CN"/>
              </w:rPr>
              <w:t>基地</w:t>
            </w:r>
            <w:r>
              <w:rPr>
                <w:rFonts w:hint="default" w:ascii="方正书宋_GBK" w:eastAsia="方正书宋_GBK"/>
                <w:lang w:val="en-US" w:eastAsia="zh-CN"/>
              </w:rPr>
              <w:t>占地面积</w:t>
            </w:r>
          </w:p>
        </w:tc>
      </w:tr>
      <w:tr>
        <w:tblPrEx>
          <w:tblCellMar>
            <w:top w:w="0" w:type="dxa"/>
            <w:left w:w="108" w:type="dxa"/>
            <w:bottom w:w="0" w:type="dxa"/>
            <w:right w:w="108" w:type="dxa"/>
          </w:tblCellMar>
        </w:tblPrEx>
        <w:trPr>
          <w:trHeight w:val="720" w:hRule="atLeast"/>
        </w:trPr>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eastAsia="仿宋_GB2312" w:cs="Times New Roman"/>
                <w:color w:val="000000"/>
                <w:szCs w:val="21"/>
              </w:rPr>
            </w:pPr>
            <w:r>
              <w:rPr>
                <w:rFonts w:hint="default" w:ascii="Times New Roman" w:hAnsi="Times New Roman" w:eastAsia="宋体" w:cs="Times New Roman"/>
                <w:color w:val="000000"/>
                <w:kern w:val="0"/>
                <w:szCs w:val="21"/>
                <w:lang w:bidi="ar"/>
              </w:rPr>
              <w:t>部门产出</w:t>
            </w: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cs="Times New Roman" w:eastAsiaTheme="majorEastAsia"/>
                <w:color w:val="000000"/>
                <w:szCs w:val="21"/>
              </w:rPr>
            </w:pPr>
            <w:r>
              <w:rPr>
                <w:rFonts w:hint="default" w:ascii="Times New Roman" w:hAnsi="Times New Roman" w:cs="Times New Roman" w:eastAsiaTheme="majorEastAsia"/>
                <w:color w:val="000000"/>
                <w:szCs w:val="21"/>
              </w:rPr>
              <w:t>数量</w:t>
            </w:r>
          </w:p>
        </w:tc>
        <w:tc>
          <w:tcPr>
            <w:tcW w:w="1080"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水渠修复长度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完成得满分，否则不得分。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水渠修复长度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2500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米</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val="en-US" w:eastAsia="zh-CN"/>
              </w:rPr>
            </w:pPr>
            <w:r>
              <w:rPr>
                <w:rFonts w:hint="default" w:ascii="方正书宋_GBK" w:eastAsia="方正书宋_GBK"/>
                <w:lang w:val="en-US" w:eastAsia="zh-CN"/>
              </w:rPr>
              <w:t>水渠长度</w:t>
            </w:r>
            <w:r>
              <w:rPr>
                <w:rFonts w:hint="eastAsia" w:ascii="方正书宋_GBK" w:eastAsia="方正书宋_GBK"/>
                <w:lang w:val="en-US" w:eastAsia="zh-CN"/>
              </w:rPr>
              <w:t>标准</w:t>
            </w:r>
          </w:p>
        </w:tc>
      </w:tr>
      <w:tr>
        <w:tblPrEx>
          <w:tblCellMar>
            <w:top w:w="0" w:type="dxa"/>
            <w:left w:w="108" w:type="dxa"/>
            <w:bottom w:w="0" w:type="dxa"/>
            <w:right w:w="108" w:type="dxa"/>
          </w:tblCellMar>
        </w:tblPrEx>
        <w:trPr>
          <w:trHeight w:val="120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eastAsia="仿宋_GB2312" w:cs="Times New Roman"/>
                <w:color w:val="000000"/>
                <w:szCs w:val="21"/>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eastAsia="仿宋_GB2312" w:cs="Times New Roman"/>
                <w:color w:val="000000"/>
                <w:szCs w:val="21"/>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印制材料数量</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全部完成得满分，每减少100本扣10%的权重分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印制培训手册、标准汇编及其他宣传材料数量情况</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eastAsia" w:ascii="方正书宋_GBK" w:eastAsia="方正书宋_GBK"/>
                <w:lang w:val="en-US" w:eastAsia="zh-CN"/>
              </w:rPr>
              <w:t>3</w:t>
            </w:r>
            <w:r>
              <w:rPr>
                <w:rFonts w:hint="default" w:ascii="方正书宋_GBK" w:eastAsia="方正书宋_GBK"/>
                <w:lang w:val="en-US" w:eastAsia="zh-CN"/>
              </w:rPr>
              <w:t>500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本</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val="en-US" w:eastAsia="zh-CN"/>
              </w:rPr>
              <w:t>计划标准</w:t>
            </w:r>
          </w:p>
        </w:tc>
      </w:tr>
      <w:tr>
        <w:tblPrEx>
          <w:tblCellMar>
            <w:top w:w="0" w:type="dxa"/>
            <w:left w:w="108" w:type="dxa"/>
            <w:bottom w:w="0" w:type="dxa"/>
            <w:right w:w="108" w:type="dxa"/>
          </w:tblCellMar>
        </w:tblPrEx>
        <w:trPr>
          <w:trHeight w:val="105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eastAsia="仿宋_GB2312" w:cs="Times New Roman"/>
                <w:color w:val="000000"/>
                <w:szCs w:val="21"/>
              </w:rPr>
            </w:pP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cs="Times New Roman" w:eastAsiaTheme="majorEastAsia"/>
                <w:color w:val="000000"/>
                <w:szCs w:val="21"/>
              </w:rPr>
            </w:pPr>
            <w:r>
              <w:rPr>
                <w:rFonts w:hint="default" w:ascii="Times New Roman" w:hAnsi="Times New Roman" w:cs="Times New Roman" w:eastAsiaTheme="majorEastAsia"/>
                <w:color w:val="000000"/>
                <w:kern w:val="0"/>
                <w:szCs w:val="21"/>
                <w:lang w:bidi="ar"/>
              </w:rPr>
              <w:t>质量</w:t>
            </w: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 xml:space="preserve">生产资料质量合格率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合格得满分，否则不得分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反映生产资料质量合格</w:t>
            </w:r>
            <w:r>
              <w:rPr>
                <w:rFonts w:hint="eastAsia" w:ascii="方正书宋_GBK" w:eastAsia="方正书宋_GBK"/>
                <w:lang w:val="en-US" w:eastAsia="zh-CN"/>
              </w:rPr>
              <w:t>率</w:t>
            </w:r>
            <w:r>
              <w:rPr>
                <w:rFonts w:hint="default" w:ascii="方正书宋_GBK" w:eastAsia="方正书宋_GBK"/>
                <w:lang w:eastAsia="zh-CN"/>
              </w:rPr>
              <w:t>情况</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val="en-US" w:eastAsia="zh-CN"/>
              </w:rPr>
              <w:t>计划标准</w:t>
            </w:r>
          </w:p>
        </w:tc>
      </w:tr>
      <w:tr>
        <w:tblPrEx>
          <w:tblCellMar>
            <w:top w:w="0" w:type="dxa"/>
            <w:left w:w="108" w:type="dxa"/>
            <w:bottom w:w="0" w:type="dxa"/>
            <w:right w:w="108" w:type="dxa"/>
          </w:tblCellMar>
        </w:tblPrEx>
        <w:trPr>
          <w:trHeight w:val="72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eastAsia="仿宋_GB2312" w:cs="Times New Roman"/>
                <w:color w:val="000000"/>
                <w:szCs w:val="21"/>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eastAsia="仿宋_GB2312" w:cs="Times New Roman"/>
                <w:color w:val="000000"/>
                <w:szCs w:val="21"/>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 xml:space="preserve">看护质量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按合同标准得满分，否则不得分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方正书宋_GBK" w:eastAsia="方正书宋_GBK"/>
                <w:lang w:val="en-US" w:eastAsia="zh-CN"/>
              </w:rPr>
            </w:pPr>
            <w:r>
              <w:rPr>
                <w:rFonts w:hint="default" w:ascii="方正书宋_GBK" w:eastAsia="方正书宋_GBK"/>
                <w:lang w:eastAsia="zh-CN"/>
              </w:rPr>
              <w:t>反</w:t>
            </w:r>
            <w:r>
              <w:rPr>
                <w:rFonts w:hint="eastAsia" w:ascii="方正书宋_GBK" w:eastAsia="方正书宋_GBK"/>
                <w:lang w:val="en-US" w:eastAsia="zh-CN"/>
              </w:rPr>
              <w:t>映</w:t>
            </w:r>
            <w:r>
              <w:rPr>
                <w:rFonts w:hint="default" w:ascii="方正书宋_GBK" w:eastAsia="方正书宋_GBK"/>
                <w:lang w:eastAsia="zh-CN"/>
              </w:rPr>
              <w:t>基地看护质量</w:t>
            </w:r>
            <w:r>
              <w:rPr>
                <w:rFonts w:hint="eastAsia" w:ascii="方正书宋_GBK" w:eastAsia="方正书宋_GBK"/>
                <w:lang w:val="en-US" w:eastAsia="zh-CN"/>
              </w:rPr>
              <w:t>情况</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文字描述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不低于合同约定标准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val="en-US" w:eastAsia="zh-CN"/>
              </w:rPr>
              <w:t>计划标准</w:t>
            </w:r>
          </w:p>
        </w:tc>
      </w:tr>
      <w:tr>
        <w:tblPrEx>
          <w:tblCellMar>
            <w:top w:w="0" w:type="dxa"/>
            <w:left w:w="108" w:type="dxa"/>
            <w:bottom w:w="0" w:type="dxa"/>
            <w:right w:w="108" w:type="dxa"/>
          </w:tblCellMar>
        </w:tblPrEx>
        <w:trPr>
          <w:trHeight w:val="96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eastAsia="仿宋_GB2312" w:cs="Times New Roman"/>
                <w:color w:val="000000"/>
                <w:szCs w:val="21"/>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eastAsia="仿宋_GB2312" w:cs="Times New Roman"/>
                <w:color w:val="000000"/>
                <w:szCs w:val="21"/>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 xml:space="preserve">设备设施维护质量合格率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合格得满分，否则不得分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合格的工程数量占工程完工总量的比例</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val="en-US" w:eastAsia="zh-CN"/>
              </w:rPr>
              <w:t>计划标准</w:t>
            </w:r>
          </w:p>
        </w:tc>
      </w:tr>
      <w:tr>
        <w:tblPrEx>
          <w:tblCellMar>
            <w:top w:w="0" w:type="dxa"/>
            <w:left w:w="108" w:type="dxa"/>
            <w:bottom w:w="0" w:type="dxa"/>
            <w:right w:w="108" w:type="dxa"/>
          </w:tblCellMar>
        </w:tblPrEx>
        <w:trPr>
          <w:trHeight w:val="96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eastAsia="仿宋_GB2312" w:cs="Times New Roman"/>
                <w:color w:val="000000"/>
                <w:szCs w:val="21"/>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eastAsia="仿宋_GB2312" w:cs="Times New Roman"/>
                <w:color w:val="000000"/>
                <w:szCs w:val="21"/>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修缮改造项目验收合格率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合格得满分，否则不得分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特需棚、水渠等改造修缮工程验收合格率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val="en-US" w:eastAsia="zh-CN"/>
              </w:rPr>
              <w:t>计划标准</w:t>
            </w:r>
          </w:p>
        </w:tc>
      </w:tr>
      <w:tr>
        <w:tblPrEx>
          <w:tblCellMar>
            <w:top w:w="0" w:type="dxa"/>
            <w:left w:w="108" w:type="dxa"/>
            <w:bottom w:w="0" w:type="dxa"/>
            <w:right w:w="108" w:type="dxa"/>
          </w:tblCellMar>
        </w:tblPrEx>
        <w:trPr>
          <w:trHeight w:val="1305" w:hRule="atLeast"/>
        </w:trPr>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eastAsia="仿宋_GB2312" w:cs="Times New Roman"/>
                <w:color w:val="000000"/>
                <w:szCs w:val="21"/>
              </w:rPr>
            </w:pPr>
            <w:r>
              <w:rPr>
                <w:rFonts w:hint="default" w:ascii="Times New Roman" w:hAnsi="Times New Roman" w:eastAsia="宋体" w:cs="Times New Roman"/>
                <w:color w:val="000000"/>
                <w:kern w:val="0"/>
                <w:szCs w:val="21"/>
                <w:lang w:bidi="ar"/>
              </w:rPr>
              <w:t>部门产出</w:t>
            </w: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Times New Roman" w:hAnsi="Times New Roman" w:cs="Times New Roman" w:eastAsiaTheme="majorEastAsia"/>
                <w:color w:val="000000"/>
                <w:szCs w:val="21"/>
              </w:rPr>
            </w:pPr>
            <w:r>
              <w:rPr>
                <w:rFonts w:hint="default" w:ascii="Times New Roman" w:hAnsi="Times New Roman" w:cs="Times New Roman" w:eastAsiaTheme="majorEastAsia"/>
                <w:color w:val="000000"/>
                <w:kern w:val="0"/>
                <w:szCs w:val="21"/>
                <w:lang w:bidi="ar"/>
              </w:rPr>
              <w:t>时效</w:t>
            </w:r>
          </w:p>
        </w:tc>
        <w:tc>
          <w:tcPr>
            <w:tcW w:w="1080"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项目开展及时率</w:t>
            </w:r>
          </w:p>
        </w:tc>
        <w:tc>
          <w:tcPr>
            <w:tcW w:w="108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完成得满分，否则不得分</w:t>
            </w:r>
          </w:p>
        </w:tc>
        <w:tc>
          <w:tcPr>
            <w:tcW w:w="108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考核各项目是否按照时间阶段完成计划任务</w:t>
            </w:r>
          </w:p>
        </w:tc>
        <w:tc>
          <w:tcPr>
            <w:tcW w:w="108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100</w:t>
            </w:r>
          </w:p>
        </w:tc>
        <w:tc>
          <w:tcPr>
            <w:tcW w:w="108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val="en-US" w:eastAsia="zh-CN"/>
              </w:rPr>
            </w:pPr>
            <w:r>
              <w:rPr>
                <w:rFonts w:hint="default" w:ascii="方正书宋_GBK" w:eastAsia="方正书宋_GBK"/>
                <w:lang w:val="en-US" w:eastAsia="zh-CN"/>
              </w:rPr>
              <w:t>财政资金支出进度要求</w:t>
            </w:r>
          </w:p>
        </w:tc>
      </w:tr>
      <w:tr>
        <w:tblPrEx>
          <w:tblCellMar>
            <w:top w:w="0" w:type="dxa"/>
            <w:left w:w="108" w:type="dxa"/>
            <w:bottom w:w="0" w:type="dxa"/>
            <w:right w:w="108" w:type="dxa"/>
          </w:tblCellMar>
        </w:tblPrEx>
        <w:trPr>
          <w:trHeight w:val="72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eastAsia="仿宋_GB2312" w:cs="Times New Roman"/>
                <w:color w:val="000000"/>
                <w:szCs w:val="21"/>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eastAsia="仿宋_GB2312" w:cs="Times New Roman"/>
                <w:color w:val="000000"/>
                <w:szCs w:val="21"/>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基地维护时间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完成得满分，否则不得分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基地维护时间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文字描述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365天</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计划标准</w:t>
            </w:r>
          </w:p>
        </w:tc>
      </w:tr>
      <w:tr>
        <w:tblPrEx>
          <w:tblCellMar>
            <w:top w:w="0" w:type="dxa"/>
            <w:left w:w="108" w:type="dxa"/>
            <w:bottom w:w="0" w:type="dxa"/>
            <w:right w:w="108" w:type="dxa"/>
          </w:tblCellMar>
        </w:tblPrEx>
        <w:trPr>
          <w:trHeight w:val="240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eastAsia="仿宋_GB2312" w:cs="Times New Roman"/>
                <w:color w:val="000000"/>
                <w:szCs w:val="21"/>
              </w:rPr>
            </w:pP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cs="Times New Roman" w:eastAsiaTheme="majorEastAsia"/>
                <w:color w:val="000000"/>
                <w:szCs w:val="21"/>
              </w:rPr>
            </w:pPr>
            <w:r>
              <w:rPr>
                <w:rFonts w:hint="default" w:ascii="Times New Roman" w:hAnsi="Times New Roman" w:cs="Times New Roman" w:eastAsiaTheme="majorEastAsia"/>
                <w:color w:val="000000"/>
                <w:kern w:val="0"/>
                <w:szCs w:val="21"/>
                <w:lang w:bidi="ar"/>
              </w:rPr>
              <w:t>成本</w:t>
            </w: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公用经费控制率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完成得满分，否则不得分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本年度实际支出的公用经费总额小于预算安排的公经费用经费总额。反映和考核对运转成本的实际控制程度。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val="en-US" w:eastAsia="zh-CN"/>
              </w:rPr>
            </w:pPr>
            <w:r>
              <w:rPr>
                <w:rFonts w:hint="default" w:ascii="方正书宋_GBK" w:eastAsia="方正书宋_GBK"/>
                <w:lang w:val="en-US" w:eastAsia="zh-CN"/>
              </w:rPr>
              <w:t>财政部门三公经费支出要求</w:t>
            </w:r>
          </w:p>
        </w:tc>
      </w:tr>
      <w:tr>
        <w:tblPrEx>
          <w:tblCellMar>
            <w:top w:w="0" w:type="dxa"/>
            <w:left w:w="108" w:type="dxa"/>
            <w:bottom w:w="0" w:type="dxa"/>
            <w:right w:w="108" w:type="dxa"/>
          </w:tblCellMar>
        </w:tblPrEx>
        <w:trPr>
          <w:trHeight w:val="110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Cs w:val="21"/>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Cs w:val="21"/>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单个示范项目成本</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全部完成得满分，每减少一个，扣权重分10%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单个示范项目成本</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方正书宋_GBK" w:eastAsia="方正书宋_GBK"/>
                <w:lang w:val="en-US" w:eastAsia="zh-CN"/>
              </w:rPr>
            </w:pPr>
            <w:r>
              <w:rPr>
                <w:rFonts w:hint="eastAsia" w:ascii="方正书宋_GBK" w:eastAsia="方正书宋_GBK"/>
                <w:lang w:val="en-US" w:eastAsia="zh-CN"/>
              </w:rPr>
              <w:t>7.2</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万元</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计划标准</w:t>
            </w:r>
          </w:p>
        </w:tc>
      </w:tr>
      <w:tr>
        <w:tblPrEx>
          <w:tblCellMar>
            <w:top w:w="0" w:type="dxa"/>
            <w:left w:w="108" w:type="dxa"/>
            <w:bottom w:w="0" w:type="dxa"/>
            <w:right w:w="108" w:type="dxa"/>
          </w:tblCellMar>
        </w:tblPrEx>
        <w:trPr>
          <w:trHeight w:val="122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Cs w:val="21"/>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Cs w:val="21"/>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单个研究项目成本</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全部完成得满分，每减少一个，扣权重分10%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单个研究项目成本</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1</w:t>
            </w:r>
            <w:r>
              <w:rPr>
                <w:rFonts w:hint="eastAsia" w:ascii="方正书宋_GBK" w:eastAsia="方正书宋_GBK"/>
                <w:lang w:val="en-US" w:eastAsia="zh-CN"/>
              </w:rPr>
              <w:t>2.5</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万元</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计划标准</w:t>
            </w:r>
          </w:p>
        </w:tc>
      </w:tr>
      <w:tr>
        <w:tblPrEx>
          <w:tblCellMar>
            <w:top w:w="0" w:type="dxa"/>
            <w:left w:w="108" w:type="dxa"/>
            <w:bottom w:w="0" w:type="dxa"/>
            <w:right w:w="108" w:type="dxa"/>
          </w:tblCellMar>
        </w:tblPrEx>
        <w:trPr>
          <w:trHeight w:val="1050" w:hRule="atLeast"/>
        </w:trPr>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部门效果</w:t>
            </w: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社会效益</w:t>
            </w: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筛选出优良品种资源数量</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全部完成得满分，每减少1个扣除权重分的10%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反映</w:t>
            </w:r>
            <w:r>
              <w:rPr>
                <w:rFonts w:hint="eastAsia" w:ascii="方正书宋_GBK" w:eastAsia="方正书宋_GBK"/>
                <w:lang w:val="en-US" w:eastAsia="zh-CN"/>
              </w:rPr>
              <w:t>研究项目</w:t>
            </w:r>
            <w:r>
              <w:rPr>
                <w:rFonts w:hint="default" w:ascii="方正书宋_GBK" w:eastAsia="方正书宋_GBK"/>
                <w:lang w:eastAsia="zh-CN"/>
              </w:rPr>
              <w:t>筛选出优良品种资源数量情况</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15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val="en-US" w:eastAsia="zh-CN"/>
              </w:rPr>
              <w:t>计划标准</w:t>
            </w:r>
          </w:p>
        </w:tc>
      </w:tr>
      <w:tr>
        <w:tblPrEx>
          <w:tblCellMar>
            <w:top w:w="0" w:type="dxa"/>
            <w:left w:w="108" w:type="dxa"/>
            <w:bottom w:w="0" w:type="dxa"/>
            <w:right w:w="108" w:type="dxa"/>
          </w:tblCellMar>
        </w:tblPrEx>
        <w:trPr>
          <w:trHeight w:val="120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hint="default" w:ascii="方正书宋_GBK" w:eastAsia="方正书宋_GBK"/>
                <w:lang w:eastAsia="zh-CN"/>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hint="default" w:ascii="方正书宋_GBK" w:eastAsia="方正书宋_GBK"/>
                <w:lang w:eastAsia="zh-CN"/>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编制或发表技术规程、论文数量</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全部完成得满分，每减少1篇，扣权重分10%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反映通过项目开展撰写技术规程或发表论文情况</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eastAsia" w:ascii="方正书宋_GBK" w:eastAsia="方正书宋_GBK"/>
                <w:lang w:val="en-US" w:eastAsia="zh-CN"/>
              </w:rPr>
            </w:pPr>
            <w:r>
              <w:rPr>
                <w:rFonts w:hint="eastAsia" w:ascii="方正书宋_GBK" w:eastAsia="方正书宋_GBK"/>
                <w:lang w:val="en-US" w:eastAsia="zh-CN"/>
              </w:rPr>
              <w:t>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val="en-US" w:eastAsia="zh-CN"/>
              </w:rPr>
              <w:t>计划标准</w:t>
            </w:r>
          </w:p>
        </w:tc>
      </w:tr>
      <w:tr>
        <w:tblPrEx>
          <w:tblCellMar>
            <w:top w:w="0" w:type="dxa"/>
            <w:left w:w="108" w:type="dxa"/>
            <w:bottom w:w="0" w:type="dxa"/>
            <w:right w:w="108" w:type="dxa"/>
          </w:tblCellMar>
        </w:tblPrEx>
        <w:trPr>
          <w:trHeight w:val="2160" w:hRule="atLeast"/>
        </w:trPr>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部门效果</w:t>
            </w: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社会效益</w:t>
            </w:r>
          </w:p>
        </w:tc>
        <w:tc>
          <w:tcPr>
            <w:tcW w:w="1080"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农户采用新技术或新品种意向提升率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全部完成得满分，每减少1个，扣权重分的10%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主要考核部分示范类项目接受科技服务、技术指导的农户采用新技术、新品种的意向增长情况</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20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val="en-US" w:eastAsia="zh-CN"/>
              </w:rPr>
              <w:t>计划标准</w:t>
            </w:r>
          </w:p>
        </w:tc>
      </w:tr>
      <w:tr>
        <w:tblPrEx>
          <w:tblCellMar>
            <w:top w:w="0" w:type="dxa"/>
            <w:left w:w="108" w:type="dxa"/>
            <w:bottom w:w="0" w:type="dxa"/>
            <w:right w:w="108" w:type="dxa"/>
          </w:tblCellMar>
        </w:tblPrEx>
        <w:trPr>
          <w:trHeight w:val="72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hint="default" w:ascii="方正书宋_GBK" w:eastAsia="方正书宋_GBK"/>
                <w:lang w:eastAsia="zh-CN"/>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hint="default" w:ascii="方正书宋_GBK" w:eastAsia="方正书宋_GBK"/>
                <w:lang w:eastAsia="zh-CN"/>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基地正常运行率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全部完成得满分，否则不得分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基地正常运转</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计划标准</w:t>
            </w:r>
          </w:p>
        </w:tc>
      </w:tr>
      <w:tr>
        <w:tblPrEx>
          <w:tblCellMar>
            <w:top w:w="0" w:type="dxa"/>
            <w:left w:w="108" w:type="dxa"/>
            <w:bottom w:w="0" w:type="dxa"/>
            <w:right w:w="108" w:type="dxa"/>
          </w:tblCellMar>
        </w:tblPrEx>
        <w:trPr>
          <w:trHeight w:val="96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hint="default" w:ascii="方正书宋_GBK" w:eastAsia="方正书宋_GBK"/>
                <w:lang w:eastAsia="zh-CN"/>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经济效益</w:t>
            </w: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亩收益增长率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全部完成得满分，每减少1%，扣权重分10%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主要考核研究类项目促进农民增收情况</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val="en-US" w:eastAsia="zh-CN"/>
              </w:rPr>
              <w:t>计划标准</w:t>
            </w:r>
          </w:p>
        </w:tc>
      </w:tr>
      <w:tr>
        <w:tblPrEx>
          <w:tblCellMar>
            <w:top w:w="0" w:type="dxa"/>
            <w:left w:w="108" w:type="dxa"/>
            <w:bottom w:w="0" w:type="dxa"/>
            <w:right w:w="108" w:type="dxa"/>
          </w:tblCellMar>
        </w:tblPrEx>
        <w:trPr>
          <w:trHeight w:val="96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hint="default" w:ascii="方正书宋_GBK" w:eastAsia="方正书宋_GBK"/>
                <w:lang w:eastAsia="zh-CN"/>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满意度</w:t>
            </w: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项目联查人员及示范、培训用户满意度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全部完成得满分，否则不得分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考核项目联查人员及示范培训用户满意度情况</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90</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hint="default" w:ascii="方正书宋_GBK" w:eastAsia="方正书宋_GBK"/>
                <w:lang w:eastAsia="zh-CN"/>
              </w:rPr>
            </w:pPr>
            <w:r>
              <w:rPr>
                <w:rFonts w:hint="default" w:ascii="方正书宋_GBK" w:eastAsia="方正书宋_GBK"/>
                <w:lang w:val="en-US" w:eastAsia="zh-CN"/>
              </w:rPr>
              <w:t>计划标准</w:t>
            </w:r>
          </w:p>
        </w:tc>
      </w:tr>
    </w:tbl>
    <w:p>
      <w:pPr>
        <w:numPr>
          <w:ilvl w:val="0"/>
          <w:numId w:val="0"/>
        </w:numPr>
        <w:overflowPunct w:val="0"/>
        <w:adjustRightInd w:val="0"/>
        <w:snapToGrid w:val="0"/>
        <w:spacing w:after="156" w:afterLines="50" w:line="580" w:lineRule="exact"/>
        <w:jc w:val="left"/>
        <w:rPr>
          <w:rFonts w:hint="eastAsia" w:ascii="楷体_GB2312" w:eastAsia="楷体_GB2312" w:cs="Times New Roman"/>
          <w:b/>
          <w:sz w:val="32"/>
          <w:szCs w:val="32"/>
        </w:rPr>
      </w:pPr>
    </w:p>
    <w:p>
      <w:pPr>
        <w:spacing w:line="584" w:lineRule="exact"/>
        <w:rPr>
          <w:rFonts w:ascii="仿宋_GB2312" w:eastAsia="仿宋_GB2312" w:cs="Times New Roman"/>
          <w:sz w:val="32"/>
          <w:szCs w:val="32"/>
        </w:rPr>
      </w:pPr>
    </w:p>
    <w:p>
      <w:pPr>
        <w:pStyle w:val="2"/>
        <w:rPr>
          <w:rFonts w:ascii="仿宋_GB2312" w:eastAsia="仿宋_GB2312" w:cs="Times New Roman"/>
          <w:sz w:val="32"/>
          <w:szCs w:val="32"/>
        </w:rPr>
      </w:pPr>
    </w:p>
    <w:p>
      <w:pPr>
        <w:rPr>
          <w:rFonts w:ascii="仿宋_GB2312" w:eastAsia="仿宋_GB2312" w:cs="Times New Roman"/>
          <w:sz w:val="32"/>
          <w:szCs w:val="32"/>
        </w:rPr>
      </w:pPr>
    </w:p>
    <w:p>
      <w:pPr>
        <w:pStyle w:val="2"/>
        <w:rPr>
          <w:rFonts w:ascii="仿宋_GB2312" w:eastAsia="仿宋_GB2312" w:cs="Times New Roman"/>
          <w:sz w:val="32"/>
          <w:szCs w:val="32"/>
        </w:rPr>
      </w:pPr>
    </w:p>
    <w:p>
      <w:pPr>
        <w:rPr>
          <w:rFonts w:ascii="仿宋_GB2312" w:eastAsia="仿宋_GB2312" w:cs="Times New Roman"/>
          <w:sz w:val="32"/>
          <w:szCs w:val="32"/>
        </w:rPr>
      </w:pPr>
    </w:p>
    <w:p>
      <w:pPr>
        <w:pStyle w:val="2"/>
      </w:pPr>
    </w:p>
    <w:p>
      <w:pPr>
        <w:pStyle w:val="2"/>
        <w:rPr>
          <w:rFonts w:ascii="仿宋_GB2312" w:eastAsia="仿宋_GB2312" w:cs="Times New Roman"/>
          <w:sz w:val="32"/>
          <w:szCs w:val="32"/>
        </w:rPr>
      </w:pPr>
    </w:p>
    <w:p/>
    <w:p>
      <w:pPr>
        <w:widowControl w:val="0"/>
        <w:numPr>
          <w:ilvl w:val="0"/>
          <w:numId w:val="0"/>
        </w:numPr>
        <w:spacing w:line="584" w:lineRule="exact"/>
        <w:jc w:val="both"/>
        <w:rPr>
          <w:rFonts w:hint="eastAsia" w:ascii="Times New Roman" w:hAnsi="Times New Roman" w:eastAsia="黑体" w:cs="Times New Roman"/>
          <w:sz w:val="32"/>
          <w:szCs w:val="32"/>
        </w:rPr>
      </w:pPr>
    </w:p>
    <w:p>
      <w:pPr>
        <w:numPr>
          <w:ilvl w:val="0"/>
          <w:numId w:val="0"/>
        </w:numPr>
        <w:spacing w:line="584" w:lineRule="exact"/>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资金绩效目标</w:t>
      </w:r>
    </w:p>
    <w:p>
      <w:pPr>
        <w:pStyle w:val="2"/>
        <w:rPr>
          <w:rFonts w:hint="eastAsia"/>
        </w:rPr>
      </w:pPr>
    </w:p>
    <w:p>
      <w:pPr>
        <w:jc w:val="left"/>
        <w:outlineLvl w:val="1"/>
        <w:rPr>
          <w:rFonts w:ascii="Times New Roman" w:hAnsi="Times New Roman" w:eastAsia="仿宋_GB2312" w:cs="Times New Roman"/>
          <w:sz w:val="28"/>
        </w:rPr>
      </w:pPr>
      <w:r>
        <w:rPr>
          <w:rFonts w:ascii="Times New Roman" w:hAnsi="Times New Roman" w:eastAsia="仿宋_GB2312" w:cs="Times New Roman"/>
          <w:sz w:val="28"/>
        </w:rPr>
        <w:t>1.农业科技综合服务运维项目绩效目标表</w:t>
      </w:r>
      <w:bookmarkStart w:id="0" w:name="_Toc29799657"/>
      <w:bookmarkEnd w:id="0"/>
    </w:p>
    <w:p>
      <w:pPr>
        <w:ind w:firstLine="560" w:firstLineChars="200"/>
        <w:jc w:val="left"/>
        <w:outlineLvl w:val="1"/>
        <w:rPr>
          <w:rFonts w:ascii="Times New Roman" w:hAnsi="Times New Roman" w:eastAsia="仿宋_GB2312" w:cs="Times New Roman"/>
          <w:sz w:val="28"/>
        </w:rPr>
      </w:pPr>
    </w:p>
    <w:tbl>
      <w:tblPr>
        <w:tblStyle w:val="10"/>
        <w:tblpPr w:leftFromText="180" w:rightFromText="180" w:vertAnchor="text" w:horzAnchor="page" w:tblpX="1391" w:tblpY="299"/>
        <w:tblOverlap w:val="never"/>
        <w:tblW w:w="0" w:type="auto"/>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rPr>
        <w:tc>
          <w:tcPr>
            <w:tcW w:w="7962" w:type="dxa"/>
            <w:gridSpan w:val="6"/>
            <w:tcBorders>
              <w:top w:val="single" w:color="FFFFFF" w:sz="6" w:space="0"/>
              <w:left w:val="single" w:color="FFFFFF" w:sz="6" w:space="0"/>
              <w:right w:val="single" w:color="FFFFFF" w:sz="6" w:space="0"/>
            </w:tcBorders>
            <w:vAlign w:val="center"/>
          </w:tcPr>
          <w:p>
            <w:pPr>
              <w:pStyle w:val="20"/>
            </w:pPr>
            <w:r>
              <w:t>485001廊坊市农林科学院本级</w:t>
            </w:r>
          </w:p>
        </w:tc>
        <w:tc>
          <w:tcPr>
            <w:tcW w:w="1327" w:type="dxa"/>
            <w:tcBorders>
              <w:top w:val="single" w:color="FFFFFF" w:sz="6" w:space="0"/>
              <w:left w:val="single" w:color="FFFFFF" w:sz="6" w:space="0"/>
              <w:right w:val="single" w:color="FFFFFF" w:sz="6" w:space="0"/>
            </w:tcBorders>
            <w:vAlign w:val="center"/>
          </w:tcPr>
          <w:p>
            <w:pPr>
              <w:pStyle w:val="1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Align w:val="center"/>
          </w:tcPr>
          <w:p>
            <w:pPr>
              <w:pStyle w:val="14"/>
            </w:pPr>
            <w:r>
              <w:t>项目编码</w:t>
            </w:r>
          </w:p>
        </w:tc>
        <w:tc>
          <w:tcPr>
            <w:tcW w:w="2654" w:type="dxa"/>
            <w:gridSpan w:val="2"/>
            <w:vAlign w:val="center"/>
          </w:tcPr>
          <w:p>
            <w:pPr>
              <w:pStyle w:val="16"/>
            </w:pPr>
            <w:r>
              <w:t>13100022P00317510001F</w:t>
            </w:r>
          </w:p>
        </w:tc>
        <w:tc>
          <w:tcPr>
            <w:tcW w:w="1327" w:type="dxa"/>
            <w:vAlign w:val="center"/>
          </w:tcPr>
          <w:p>
            <w:pPr>
              <w:pStyle w:val="14"/>
            </w:pPr>
            <w:r>
              <w:t>项目名称</w:t>
            </w:r>
          </w:p>
        </w:tc>
        <w:tc>
          <w:tcPr>
            <w:tcW w:w="3981" w:type="dxa"/>
            <w:gridSpan w:val="3"/>
            <w:vAlign w:val="center"/>
          </w:tcPr>
          <w:p>
            <w:pPr>
              <w:pStyle w:val="16"/>
            </w:pPr>
            <w:r>
              <w:t>农业科技综合服务运维项目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restart"/>
            <w:vAlign w:val="center"/>
          </w:tcPr>
          <w:p>
            <w:pPr>
              <w:pStyle w:val="14"/>
            </w:pPr>
            <w:r>
              <w:t>预算规模及资金用途</w:t>
            </w:r>
          </w:p>
        </w:tc>
        <w:tc>
          <w:tcPr>
            <w:tcW w:w="1327" w:type="dxa"/>
            <w:vAlign w:val="center"/>
          </w:tcPr>
          <w:p>
            <w:pPr>
              <w:pStyle w:val="14"/>
            </w:pPr>
            <w:r>
              <w:t>预算数</w:t>
            </w:r>
          </w:p>
        </w:tc>
        <w:tc>
          <w:tcPr>
            <w:tcW w:w="1327" w:type="dxa"/>
            <w:vAlign w:val="center"/>
          </w:tcPr>
          <w:p>
            <w:pPr>
              <w:pStyle w:val="16"/>
            </w:pPr>
            <w:r>
              <w:t>56.00</w:t>
            </w:r>
          </w:p>
        </w:tc>
        <w:tc>
          <w:tcPr>
            <w:tcW w:w="1327" w:type="dxa"/>
            <w:vAlign w:val="center"/>
          </w:tcPr>
          <w:p>
            <w:pPr>
              <w:pStyle w:val="14"/>
            </w:pPr>
            <w:r>
              <w:t>其中：财政    资金</w:t>
            </w:r>
          </w:p>
        </w:tc>
        <w:tc>
          <w:tcPr>
            <w:tcW w:w="1327" w:type="dxa"/>
            <w:vAlign w:val="center"/>
          </w:tcPr>
          <w:p>
            <w:pPr>
              <w:pStyle w:val="16"/>
            </w:pPr>
            <w:r>
              <w:t>56.00</w:t>
            </w:r>
          </w:p>
        </w:tc>
        <w:tc>
          <w:tcPr>
            <w:tcW w:w="1327" w:type="dxa"/>
            <w:vAlign w:val="center"/>
          </w:tcPr>
          <w:p>
            <w:pPr>
              <w:pStyle w:val="14"/>
            </w:pPr>
            <w:r>
              <w:t>其他资金</w:t>
            </w:r>
          </w:p>
        </w:tc>
        <w:tc>
          <w:tcPr>
            <w:tcW w:w="1327" w:type="dxa"/>
            <w:vAlign w:val="center"/>
          </w:tcPr>
          <w:p>
            <w:pPr>
              <w:pStyle w:val="16"/>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tcPr>
          <w:p/>
        </w:tc>
        <w:tc>
          <w:tcPr>
            <w:tcW w:w="7962" w:type="dxa"/>
            <w:gridSpan w:val="6"/>
            <w:vAlign w:val="center"/>
          </w:tcPr>
          <w:p>
            <w:pPr>
              <w:pStyle w:val="16"/>
            </w:pPr>
            <w:r>
              <w:t>项目资金共计56万元，主要用于1、补充日常公用经费中材料印刷、法律咨询和网络维护费用的不足；2、180亩科研实验基地（潘场）和109亩科技成果示范基地（陈家务）2大基地公共区域的水电、路、渠、工具房、库房等基础设施维护，绿化维护，设备检修和设施维护等运维管理费用。</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restart"/>
            <w:vAlign w:val="center"/>
          </w:tcPr>
          <w:p>
            <w:pPr>
              <w:pStyle w:val="14"/>
            </w:pPr>
            <w:r>
              <w:t>资金支出计划（%）</w:t>
            </w:r>
          </w:p>
        </w:tc>
        <w:tc>
          <w:tcPr>
            <w:tcW w:w="2654" w:type="dxa"/>
            <w:gridSpan w:val="2"/>
            <w:vAlign w:val="center"/>
          </w:tcPr>
          <w:p>
            <w:pPr>
              <w:pStyle w:val="14"/>
            </w:pPr>
            <w:r>
              <w:t>3月底</w:t>
            </w:r>
          </w:p>
        </w:tc>
        <w:tc>
          <w:tcPr>
            <w:tcW w:w="1327" w:type="dxa"/>
            <w:vAlign w:val="center"/>
          </w:tcPr>
          <w:p>
            <w:pPr>
              <w:pStyle w:val="14"/>
            </w:pPr>
            <w:r>
              <w:t>6月底</w:t>
            </w:r>
          </w:p>
        </w:tc>
        <w:tc>
          <w:tcPr>
            <w:tcW w:w="1327" w:type="dxa"/>
            <w:vAlign w:val="center"/>
          </w:tcPr>
          <w:p>
            <w:pPr>
              <w:pStyle w:val="14"/>
            </w:pPr>
            <w:r>
              <w:t>10月底</w:t>
            </w:r>
          </w:p>
        </w:tc>
        <w:tc>
          <w:tcPr>
            <w:tcW w:w="2654" w:type="dxa"/>
            <w:gridSpan w:val="2"/>
            <w:vAlign w:val="center"/>
          </w:tcPr>
          <w:p>
            <w:pPr>
              <w:pStyle w:val="14"/>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tcPr>
          <w:p/>
        </w:tc>
        <w:tc>
          <w:tcPr>
            <w:tcW w:w="2654" w:type="dxa"/>
            <w:gridSpan w:val="2"/>
            <w:vAlign w:val="center"/>
          </w:tcPr>
          <w:p>
            <w:pPr>
              <w:pStyle w:val="17"/>
            </w:pPr>
            <w:r>
              <w:t>30%</w:t>
            </w:r>
          </w:p>
        </w:tc>
        <w:tc>
          <w:tcPr>
            <w:tcW w:w="1327" w:type="dxa"/>
            <w:vAlign w:val="center"/>
          </w:tcPr>
          <w:p>
            <w:pPr>
              <w:pStyle w:val="17"/>
            </w:pPr>
            <w:r>
              <w:t>60%</w:t>
            </w:r>
          </w:p>
        </w:tc>
        <w:tc>
          <w:tcPr>
            <w:tcW w:w="1327" w:type="dxa"/>
            <w:vAlign w:val="center"/>
          </w:tcPr>
          <w:p>
            <w:pPr>
              <w:pStyle w:val="17"/>
            </w:pPr>
            <w:r>
              <w:t>90%</w:t>
            </w:r>
          </w:p>
        </w:tc>
        <w:tc>
          <w:tcPr>
            <w:tcW w:w="2654" w:type="dxa"/>
            <w:gridSpan w:val="2"/>
            <w:vAlign w:val="center"/>
          </w:tcPr>
          <w:p>
            <w:pPr>
              <w:pStyle w:val="17"/>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Align w:val="center"/>
          </w:tcPr>
          <w:p>
            <w:pPr>
              <w:pStyle w:val="14"/>
            </w:pPr>
            <w:r>
              <w:t>绩效目标</w:t>
            </w:r>
          </w:p>
        </w:tc>
        <w:tc>
          <w:tcPr>
            <w:tcW w:w="7962" w:type="dxa"/>
            <w:gridSpan w:val="6"/>
            <w:vAlign w:val="center"/>
          </w:tcPr>
          <w:p>
            <w:pPr>
              <w:pStyle w:val="16"/>
            </w:pPr>
            <w:r>
              <w:t>1.完成一个法律顾问进行全年服务。完成4次本部门网站网络漏洞扫描及修复工作。完成全年各类专题活动、农技知识用宣传材料的的印刷。举办农业科技培训班10期，精准对接百家以上农业园区、农业合作社、农业龙头企业和种、养殖大户，培养科技兴农致富精英，开展面对面技术服务</w:t>
            </w:r>
          </w:p>
          <w:p>
            <w:pPr>
              <w:pStyle w:val="16"/>
            </w:pPr>
            <w:r>
              <w:t>2.完成一个特需棚室改造、完成2500米水渠修复工作、完成科研实验基地（潘场）和科技成果示范基地（陈家务）2个基地，面积约280亩公共区域日常维护工作；</w:t>
            </w:r>
          </w:p>
        </w:tc>
      </w:tr>
    </w:tbl>
    <w:tbl>
      <w:tblPr>
        <w:tblStyle w:val="10"/>
        <w:tblpPr w:leftFromText="180" w:rightFromText="180" w:vertAnchor="text" w:horzAnchor="page" w:tblpX="1407" w:tblpY="87"/>
        <w:tblOverlap w:val="never"/>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1327"/>
        <w:gridCol w:w="13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trPr>
        <w:tc>
          <w:tcPr>
            <w:tcW w:w="1327" w:type="dxa"/>
            <w:vAlign w:val="center"/>
          </w:tcPr>
          <w:p>
            <w:pPr>
              <w:pStyle w:val="14"/>
            </w:pPr>
            <w:r>
              <w:t>一级指标</w:t>
            </w:r>
          </w:p>
        </w:tc>
        <w:tc>
          <w:tcPr>
            <w:tcW w:w="1327" w:type="dxa"/>
            <w:vAlign w:val="center"/>
          </w:tcPr>
          <w:p>
            <w:pPr>
              <w:pStyle w:val="14"/>
            </w:pPr>
            <w:r>
              <w:t>二级指标</w:t>
            </w:r>
          </w:p>
        </w:tc>
        <w:tc>
          <w:tcPr>
            <w:tcW w:w="1327" w:type="dxa"/>
            <w:vAlign w:val="center"/>
          </w:tcPr>
          <w:p>
            <w:pPr>
              <w:pStyle w:val="14"/>
            </w:pPr>
            <w:r>
              <w:t>三级指标</w:t>
            </w:r>
          </w:p>
        </w:tc>
        <w:tc>
          <w:tcPr>
            <w:tcW w:w="2654" w:type="dxa"/>
            <w:vAlign w:val="center"/>
          </w:tcPr>
          <w:p>
            <w:pPr>
              <w:pStyle w:val="14"/>
            </w:pPr>
            <w:r>
              <w:t>绩效指标描述</w:t>
            </w:r>
          </w:p>
        </w:tc>
        <w:tc>
          <w:tcPr>
            <w:tcW w:w="1327" w:type="dxa"/>
            <w:vAlign w:val="center"/>
          </w:tcPr>
          <w:p>
            <w:pPr>
              <w:pStyle w:val="14"/>
            </w:pPr>
            <w:r>
              <w:t>指标值</w:t>
            </w:r>
          </w:p>
        </w:tc>
        <w:tc>
          <w:tcPr>
            <w:tcW w:w="1327" w:type="dxa"/>
            <w:vAlign w:val="center"/>
          </w:tcPr>
          <w:p>
            <w:pPr>
              <w:pStyle w:val="14"/>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restart"/>
            <w:vAlign w:val="center"/>
          </w:tcPr>
          <w:p>
            <w:pPr>
              <w:pStyle w:val="17"/>
            </w:pPr>
            <w:r>
              <w:t>产出指标</w:t>
            </w:r>
          </w:p>
        </w:tc>
        <w:tc>
          <w:tcPr>
            <w:tcW w:w="1327" w:type="dxa"/>
            <w:vAlign w:val="center"/>
          </w:tcPr>
          <w:p>
            <w:pPr>
              <w:pStyle w:val="16"/>
            </w:pPr>
            <w:r>
              <w:t>数量指标</w:t>
            </w:r>
          </w:p>
        </w:tc>
        <w:tc>
          <w:tcPr>
            <w:tcW w:w="1327" w:type="dxa"/>
            <w:vAlign w:val="center"/>
          </w:tcPr>
          <w:p>
            <w:pPr>
              <w:pStyle w:val="16"/>
            </w:pPr>
            <w:r>
              <w:t>复印打印纸张数量</w:t>
            </w:r>
          </w:p>
        </w:tc>
        <w:tc>
          <w:tcPr>
            <w:tcW w:w="2654" w:type="dxa"/>
            <w:vAlign w:val="center"/>
          </w:tcPr>
          <w:p>
            <w:pPr>
              <w:pStyle w:val="16"/>
            </w:pPr>
            <w:r>
              <w:t>普通复印打印用纸数量情况</w:t>
            </w:r>
          </w:p>
        </w:tc>
        <w:tc>
          <w:tcPr>
            <w:tcW w:w="1327" w:type="dxa"/>
            <w:vAlign w:val="center"/>
          </w:tcPr>
          <w:p>
            <w:pPr>
              <w:pStyle w:val="16"/>
            </w:pPr>
            <w:r>
              <w:t>≥1.5万张</w:t>
            </w:r>
          </w:p>
        </w:tc>
        <w:tc>
          <w:tcPr>
            <w:tcW w:w="1327"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数量指标</w:t>
            </w:r>
          </w:p>
        </w:tc>
        <w:tc>
          <w:tcPr>
            <w:tcW w:w="1327" w:type="dxa"/>
            <w:vAlign w:val="center"/>
          </w:tcPr>
          <w:p>
            <w:pPr>
              <w:pStyle w:val="16"/>
            </w:pPr>
            <w:r>
              <w:t>举办农业科技培训班数量</w:t>
            </w:r>
          </w:p>
        </w:tc>
        <w:tc>
          <w:tcPr>
            <w:tcW w:w="2654" w:type="dxa"/>
            <w:vAlign w:val="center"/>
          </w:tcPr>
          <w:p>
            <w:pPr>
              <w:pStyle w:val="16"/>
            </w:pPr>
            <w:r>
              <w:t>举办农业科技培训班数量情况</w:t>
            </w:r>
          </w:p>
        </w:tc>
        <w:tc>
          <w:tcPr>
            <w:tcW w:w="1327" w:type="dxa"/>
            <w:vAlign w:val="center"/>
          </w:tcPr>
          <w:p>
            <w:pPr>
              <w:pStyle w:val="16"/>
            </w:pPr>
            <w:r>
              <w:t>≥10期</w:t>
            </w:r>
          </w:p>
        </w:tc>
        <w:tc>
          <w:tcPr>
            <w:tcW w:w="1327"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数量指标</w:t>
            </w:r>
          </w:p>
        </w:tc>
        <w:tc>
          <w:tcPr>
            <w:tcW w:w="1327" w:type="dxa"/>
            <w:vAlign w:val="center"/>
          </w:tcPr>
          <w:p>
            <w:pPr>
              <w:pStyle w:val="16"/>
            </w:pPr>
            <w:r>
              <w:t>印制材料数量</w:t>
            </w:r>
          </w:p>
        </w:tc>
        <w:tc>
          <w:tcPr>
            <w:tcW w:w="2654" w:type="dxa"/>
            <w:vAlign w:val="center"/>
          </w:tcPr>
          <w:p>
            <w:pPr>
              <w:pStyle w:val="16"/>
            </w:pPr>
            <w:r>
              <w:t>印制培训手册及宣传材料数量情况</w:t>
            </w:r>
          </w:p>
        </w:tc>
        <w:tc>
          <w:tcPr>
            <w:tcW w:w="1327" w:type="dxa"/>
            <w:vAlign w:val="center"/>
          </w:tcPr>
          <w:p>
            <w:pPr>
              <w:pStyle w:val="16"/>
            </w:pPr>
            <w:r>
              <w:t>≥3500本</w:t>
            </w:r>
          </w:p>
        </w:tc>
        <w:tc>
          <w:tcPr>
            <w:tcW w:w="1327"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数量指标</w:t>
            </w:r>
          </w:p>
        </w:tc>
        <w:tc>
          <w:tcPr>
            <w:tcW w:w="1327" w:type="dxa"/>
            <w:vAlign w:val="center"/>
          </w:tcPr>
          <w:p>
            <w:pPr>
              <w:pStyle w:val="16"/>
            </w:pPr>
            <w:r>
              <w:t>网络维护次数</w:t>
            </w:r>
          </w:p>
        </w:tc>
        <w:tc>
          <w:tcPr>
            <w:tcW w:w="2654" w:type="dxa"/>
            <w:vAlign w:val="center"/>
          </w:tcPr>
          <w:p>
            <w:pPr>
              <w:pStyle w:val="16"/>
            </w:pPr>
            <w:r>
              <w:t>年度内网络漏洞扫描修复次数</w:t>
            </w:r>
          </w:p>
        </w:tc>
        <w:tc>
          <w:tcPr>
            <w:tcW w:w="1327" w:type="dxa"/>
            <w:vAlign w:val="center"/>
          </w:tcPr>
          <w:p>
            <w:pPr>
              <w:pStyle w:val="16"/>
            </w:pPr>
            <w:r>
              <w:t>12次</w:t>
            </w:r>
          </w:p>
        </w:tc>
        <w:tc>
          <w:tcPr>
            <w:tcW w:w="1327" w:type="dxa"/>
            <w:vAlign w:val="center"/>
          </w:tcPr>
          <w:p>
            <w:pPr>
              <w:pStyle w:val="16"/>
            </w:pPr>
            <w:r>
              <w:t>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数量指标</w:t>
            </w:r>
          </w:p>
        </w:tc>
        <w:tc>
          <w:tcPr>
            <w:tcW w:w="1327" w:type="dxa"/>
            <w:vAlign w:val="center"/>
          </w:tcPr>
          <w:p>
            <w:pPr>
              <w:pStyle w:val="16"/>
            </w:pPr>
            <w:r>
              <w:t>日常维护基地数量</w:t>
            </w:r>
          </w:p>
        </w:tc>
        <w:tc>
          <w:tcPr>
            <w:tcW w:w="2654" w:type="dxa"/>
            <w:vAlign w:val="center"/>
          </w:tcPr>
          <w:p>
            <w:pPr>
              <w:pStyle w:val="16"/>
            </w:pPr>
            <w:r>
              <w:t>维护基地数量情况</w:t>
            </w:r>
          </w:p>
        </w:tc>
        <w:tc>
          <w:tcPr>
            <w:tcW w:w="1327" w:type="dxa"/>
            <w:vAlign w:val="center"/>
          </w:tcPr>
          <w:p>
            <w:pPr>
              <w:pStyle w:val="16"/>
            </w:pPr>
            <w:r>
              <w:t>2个</w:t>
            </w:r>
          </w:p>
        </w:tc>
        <w:tc>
          <w:tcPr>
            <w:tcW w:w="1327"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数量指标</w:t>
            </w:r>
          </w:p>
        </w:tc>
        <w:tc>
          <w:tcPr>
            <w:tcW w:w="1327" w:type="dxa"/>
            <w:vAlign w:val="center"/>
          </w:tcPr>
          <w:p>
            <w:pPr>
              <w:pStyle w:val="16"/>
            </w:pPr>
            <w:r>
              <w:t>水渠修复长度</w:t>
            </w:r>
          </w:p>
        </w:tc>
        <w:tc>
          <w:tcPr>
            <w:tcW w:w="2654" w:type="dxa"/>
            <w:vAlign w:val="center"/>
          </w:tcPr>
          <w:p>
            <w:pPr>
              <w:pStyle w:val="16"/>
            </w:pPr>
            <w:r>
              <w:t>水渠修复长度</w:t>
            </w:r>
          </w:p>
        </w:tc>
        <w:tc>
          <w:tcPr>
            <w:tcW w:w="1327" w:type="dxa"/>
            <w:vAlign w:val="center"/>
          </w:tcPr>
          <w:p>
            <w:pPr>
              <w:pStyle w:val="16"/>
            </w:pPr>
            <w:r>
              <w:t>≤2500米</w:t>
            </w:r>
          </w:p>
        </w:tc>
        <w:tc>
          <w:tcPr>
            <w:tcW w:w="1327" w:type="dxa"/>
            <w:vAlign w:val="center"/>
          </w:tcPr>
          <w:p>
            <w:pPr>
              <w:pStyle w:val="16"/>
            </w:pPr>
            <w:r>
              <w:t>水渠长度标准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810" w:hRule="atLeast"/>
        </w:trPr>
        <w:tc>
          <w:tcPr>
            <w:tcW w:w="1327" w:type="dxa"/>
            <w:vMerge w:val="continue"/>
            <w:vAlign w:val="center"/>
          </w:tcPr>
          <w:p/>
        </w:tc>
        <w:tc>
          <w:tcPr>
            <w:tcW w:w="1327" w:type="dxa"/>
            <w:vAlign w:val="center"/>
          </w:tcPr>
          <w:p>
            <w:pPr>
              <w:pStyle w:val="16"/>
            </w:pPr>
            <w:r>
              <w:t>数量指标</w:t>
            </w:r>
          </w:p>
        </w:tc>
        <w:tc>
          <w:tcPr>
            <w:tcW w:w="1327" w:type="dxa"/>
            <w:vAlign w:val="center"/>
          </w:tcPr>
          <w:p>
            <w:pPr>
              <w:pStyle w:val="16"/>
            </w:pPr>
            <w:r>
              <w:t>日常维护基地面积</w:t>
            </w:r>
          </w:p>
        </w:tc>
        <w:tc>
          <w:tcPr>
            <w:tcW w:w="2654" w:type="dxa"/>
            <w:vAlign w:val="center"/>
          </w:tcPr>
          <w:p>
            <w:pPr>
              <w:pStyle w:val="16"/>
            </w:pPr>
            <w:r>
              <w:t>反映维护管理的基地占地面积情况</w:t>
            </w:r>
          </w:p>
        </w:tc>
        <w:tc>
          <w:tcPr>
            <w:tcW w:w="1327" w:type="dxa"/>
            <w:vAlign w:val="center"/>
          </w:tcPr>
          <w:p>
            <w:pPr>
              <w:pStyle w:val="16"/>
            </w:pPr>
            <w:r>
              <w:t>≤289亩</w:t>
            </w:r>
          </w:p>
        </w:tc>
        <w:tc>
          <w:tcPr>
            <w:tcW w:w="1327" w:type="dxa"/>
            <w:vAlign w:val="center"/>
          </w:tcPr>
          <w:p>
            <w:pPr>
              <w:pStyle w:val="16"/>
            </w:pPr>
            <w:r>
              <w:t>基地占地面积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数量指标</w:t>
            </w:r>
          </w:p>
        </w:tc>
        <w:tc>
          <w:tcPr>
            <w:tcW w:w="1327" w:type="dxa"/>
            <w:vAlign w:val="center"/>
          </w:tcPr>
          <w:p>
            <w:pPr>
              <w:pStyle w:val="16"/>
            </w:pPr>
            <w:r>
              <w:t>特需棚室改造数量</w:t>
            </w:r>
          </w:p>
        </w:tc>
        <w:tc>
          <w:tcPr>
            <w:tcW w:w="2654" w:type="dxa"/>
            <w:vAlign w:val="center"/>
          </w:tcPr>
          <w:p>
            <w:pPr>
              <w:pStyle w:val="16"/>
            </w:pPr>
            <w:r>
              <w:t>特需棚室改造数量</w:t>
            </w:r>
          </w:p>
        </w:tc>
        <w:tc>
          <w:tcPr>
            <w:tcW w:w="1327" w:type="dxa"/>
            <w:vAlign w:val="center"/>
          </w:tcPr>
          <w:p>
            <w:pPr>
              <w:pStyle w:val="16"/>
            </w:pPr>
            <w:r>
              <w:t>1个</w:t>
            </w:r>
          </w:p>
        </w:tc>
        <w:tc>
          <w:tcPr>
            <w:tcW w:w="1327"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质量指标</w:t>
            </w:r>
          </w:p>
        </w:tc>
        <w:tc>
          <w:tcPr>
            <w:tcW w:w="1327" w:type="dxa"/>
            <w:vAlign w:val="center"/>
          </w:tcPr>
          <w:p>
            <w:pPr>
              <w:pStyle w:val="16"/>
            </w:pPr>
            <w:r>
              <w:t>农业科技培训班评优率</w:t>
            </w:r>
          </w:p>
        </w:tc>
        <w:tc>
          <w:tcPr>
            <w:tcW w:w="2654" w:type="dxa"/>
            <w:vAlign w:val="center"/>
          </w:tcPr>
          <w:p>
            <w:pPr>
              <w:pStyle w:val="16"/>
            </w:pPr>
            <w:r>
              <w:t>农业科技培训班评优率情况</w:t>
            </w:r>
          </w:p>
        </w:tc>
        <w:tc>
          <w:tcPr>
            <w:tcW w:w="1327" w:type="dxa"/>
            <w:vAlign w:val="center"/>
          </w:tcPr>
          <w:p>
            <w:pPr>
              <w:pStyle w:val="16"/>
            </w:pPr>
            <w:r>
              <w:t>≥95百分比</w:t>
            </w:r>
          </w:p>
        </w:tc>
        <w:tc>
          <w:tcPr>
            <w:tcW w:w="1327"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质量指标</w:t>
            </w:r>
          </w:p>
        </w:tc>
        <w:tc>
          <w:tcPr>
            <w:tcW w:w="1327" w:type="dxa"/>
            <w:vAlign w:val="center"/>
          </w:tcPr>
          <w:p>
            <w:pPr>
              <w:pStyle w:val="16"/>
            </w:pPr>
            <w:r>
              <w:t>宣传区域覆盖率</w:t>
            </w:r>
          </w:p>
        </w:tc>
        <w:tc>
          <w:tcPr>
            <w:tcW w:w="2654" w:type="dxa"/>
            <w:vAlign w:val="center"/>
          </w:tcPr>
          <w:p>
            <w:pPr>
              <w:pStyle w:val="16"/>
            </w:pPr>
            <w:r>
              <w:t>本市宣传材料发放区县覆盖情况</w:t>
            </w:r>
          </w:p>
        </w:tc>
        <w:tc>
          <w:tcPr>
            <w:tcW w:w="1327" w:type="dxa"/>
            <w:vAlign w:val="center"/>
          </w:tcPr>
          <w:p>
            <w:pPr>
              <w:pStyle w:val="16"/>
            </w:pPr>
            <w:r>
              <w:t>≥80百分比</w:t>
            </w:r>
          </w:p>
        </w:tc>
        <w:tc>
          <w:tcPr>
            <w:tcW w:w="1327"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质量指标</w:t>
            </w:r>
          </w:p>
        </w:tc>
        <w:tc>
          <w:tcPr>
            <w:tcW w:w="1327" w:type="dxa"/>
            <w:vAlign w:val="center"/>
          </w:tcPr>
          <w:p>
            <w:pPr>
              <w:pStyle w:val="16"/>
            </w:pPr>
            <w:r>
              <w:t>网络安全率</w:t>
            </w:r>
          </w:p>
        </w:tc>
        <w:tc>
          <w:tcPr>
            <w:tcW w:w="2654" w:type="dxa"/>
            <w:vAlign w:val="center"/>
          </w:tcPr>
          <w:p>
            <w:pPr>
              <w:pStyle w:val="16"/>
            </w:pPr>
            <w:r>
              <w:t>反映每月网络修复后系统漏洞个数情况</w:t>
            </w:r>
          </w:p>
        </w:tc>
        <w:tc>
          <w:tcPr>
            <w:tcW w:w="1327" w:type="dxa"/>
            <w:vAlign w:val="center"/>
          </w:tcPr>
          <w:p>
            <w:pPr>
              <w:pStyle w:val="16"/>
            </w:pPr>
            <w:r>
              <w:t>0个</w:t>
            </w:r>
          </w:p>
        </w:tc>
        <w:tc>
          <w:tcPr>
            <w:tcW w:w="1327" w:type="dxa"/>
            <w:vAlign w:val="center"/>
          </w:tcPr>
          <w:p>
            <w:pPr>
              <w:pStyle w:val="16"/>
            </w:pPr>
            <w:r>
              <w:t>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质量指标</w:t>
            </w:r>
          </w:p>
        </w:tc>
        <w:tc>
          <w:tcPr>
            <w:tcW w:w="1327" w:type="dxa"/>
            <w:vAlign w:val="center"/>
          </w:tcPr>
          <w:p>
            <w:pPr>
              <w:pStyle w:val="16"/>
            </w:pPr>
            <w:r>
              <w:t>设备设施维护完成率</w:t>
            </w:r>
          </w:p>
        </w:tc>
        <w:tc>
          <w:tcPr>
            <w:tcW w:w="2654" w:type="dxa"/>
            <w:vAlign w:val="center"/>
          </w:tcPr>
          <w:p>
            <w:pPr>
              <w:pStyle w:val="16"/>
            </w:pPr>
            <w:r>
              <w:t>设备设施维护完成情况</w:t>
            </w:r>
          </w:p>
        </w:tc>
        <w:tc>
          <w:tcPr>
            <w:tcW w:w="1327" w:type="dxa"/>
            <w:vAlign w:val="center"/>
          </w:tcPr>
          <w:p>
            <w:pPr>
              <w:pStyle w:val="16"/>
            </w:pPr>
            <w:r>
              <w:t>≥100百分比</w:t>
            </w:r>
          </w:p>
        </w:tc>
        <w:tc>
          <w:tcPr>
            <w:tcW w:w="1327"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质量指标</w:t>
            </w:r>
          </w:p>
        </w:tc>
        <w:tc>
          <w:tcPr>
            <w:tcW w:w="1327" w:type="dxa"/>
            <w:vAlign w:val="center"/>
          </w:tcPr>
          <w:p>
            <w:pPr>
              <w:pStyle w:val="16"/>
            </w:pPr>
            <w:r>
              <w:t>验收合格率</w:t>
            </w:r>
          </w:p>
        </w:tc>
        <w:tc>
          <w:tcPr>
            <w:tcW w:w="2654" w:type="dxa"/>
            <w:vAlign w:val="center"/>
          </w:tcPr>
          <w:p>
            <w:pPr>
              <w:pStyle w:val="16"/>
            </w:pPr>
            <w:r>
              <w:t>特需棚、水渠等改造修缮工程验收合格率</w:t>
            </w:r>
          </w:p>
        </w:tc>
        <w:tc>
          <w:tcPr>
            <w:tcW w:w="1327" w:type="dxa"/>
            <w:vAlign w:val="center"/>
          </w:tcPr>
          <w:p>
            <w:pPr>
              <w:pStyle w:val="16"/>
            </w:pPr>
            <w:r>
              <w:t>≥100百分比</w:t>
            </w:r>
          </w:p>
        </w:tc>
        <w:tc>
          <w:tcPr>
            <w:tcW w:w="1327"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质量指标</w:t>
            </w:r>
          </w:p>
        </w:tc>
        <w:tc>
          <w:tcPr>
            <w:tcW w:w="1327" w:type="dxa"/>
            <w:vAlign w:val="center"/>
          </w:tcPr>
          <w:p>
            <w:pPr>
              <w:pStyle w:val="16"/>
            </w:pPr>
            <w:r>
              <w:t>看护质量</w:t>
            </w:r>
          </w:p>
        </w:tc>
        <w:tc>
          <w:tcPr>
            <w:tcW w:w="2654" w:type="dxa"/>
            <w:vAlign w:val="center"/>
          </w:tcPr>
          <w:p>
            <w:pPr>
              <w:pStyle w:val="16"/>
            </w:pPr>
            <w:r>
              <w:t>反应基地看护质量情况</w:t>
            </w:r>
          </w:p>
        </w:tc>
        <w:tc>
          <w:tcPr>
            <w:tcW w:w="1327" w:type="dxa"/>
            <w:vAlign w:val="center"/>
          </w:tcPr>
          <w:p>
            <w:pPr>
              <w:pStyle w:val="16"/>
            </w:pPr>
            <w:r>
              <w:t>不低于合同约定标准</w:t>
            </w:r>
          </w:p>
        </w:tc>
        <w:tc>
          <w:tcPr>
            <w:tcW w:w="1327" w:type="dxa"/>
            <w:vAlign w:val="center"/>
          </w:tcPr>
          <w:p>
            <w:pPr>
              <w:pStyle w:val="16"/>
            </w:pPr>
            <w:r>
              <w:t>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时效指标</w:t>
            </w:r>
          </w:p>
        </w:tc>
        <w:tc>
          <w:tcPr>
            <w:tcW w:w="1327" w:type="dxa"/>
            <w:vAlign w:val="center"/>
          </w:tcPr>
          <w:p>
            <w:pPr>
              <w:pStyle w:val="16"/>
            </w:pPr>
            <w:r>
              <w:t>费用支付及时性</w:t>
            </w:r>
          </w:p>
        </w:tc>
        <w:tc>
          <w:tcPr>
            <w:tcW w:w="2654" w:type="dxa"/>
            <w:vAlign w:val="center"/>
          </w:tcPr>
          <w:p>
            <w:pPr>
              <w:pStyle w:val="16"/>
            </w:pPr>
            <w:r>
              <w:t>反映法律顾问费用支付及时情况</w:t>
            </w:r>
          </w:p>
        </w:tc>
        <w:tc>
          <w:tcPr>
            <w:tcW w:w="1327" w:type="dxa"/>
            <w:vAlign w:val="center"/>
          </w:tcPr>
          <w:p>
            <w:pPr>
              <w:pStyle w:val="16"/>
            </w:pPr>
            <w:r>
              <w:t>及时</w:t>
            </w:r>
          </w:p>
        </w:tc>
        <w:tc>
          <w:tcPr>
            <w:tcW w:w="1327" w:type="dxa"/>
            <w:vAlign w:val="center"/>
          </w:tcPr>
          <w:p>
            <w:pPr>
              <w:pStyle w:val="16"/>
            </w:pPr>
            <w:r>
              <w:t>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时效指标</w:t>
            </w:r>
          </w:p>
        </w:tc>
        <w:tc>
          <w:tcPr>
            <w:tcW w:w="1327" w:type="dxa"/>
            <w:vAlign w:val="center"/>
          </w:tcPr>
          <w:p>
            <w:pPr>
              <w:pStyle w:val="16"/>
            </w:pPr>
            <w:r>
              <w:t>培训计划按期完成率</w:t>
            </w:r>
          </w:p>
        </w:tc>
        <w:tc>
          <w:tcPr>
            <w:tcW w:w="2654" w:type="dxa"/>
            <w:vAlign w:val="center"/>
          </w:tcPr>
          <w:p>
            <w:pPr>
              <w:pStyle w:val="16"/>
            </w:pPr>
            <w:r>
              <w:t>农业培训按计划时间完成情况</w:t>
            </w:r>
          </w:p>
        </w:tc>
        <w:tc>
          <w:tcPr>
            <w:tcW w:w="1327" w:type="dxa"/>
            <w:vAlign w:val="center"/>
          </w:tcPr>
          <w:p>
            <w:pPr>
              <w:pStyle w:val="16"/>
            </w:pPr>
            <w:r>
              <w:t>及时</w:t>
            </w:r>
          </w:p>
        </w:tc>
        <w:tc>
          <w:tcPr>
            <w:tcW w:w="1327"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时效指标</w:t>
            </w:r>
          </w:p>
        </w:tc>
        <w:tc>
          <w:tcPr>
            <w:tcW w:w="1327" w:type="dxa"/>
            <w:vAlign w:val="center"/>
          </w:tcPr>
          <w:p>
            <w:pPr>
              <w:pStyle w:val="16"/>
            </w:pPr>
            <w:r>
              <w:t>特需棚改造完成时间</w:t>
            </w:r>
          </w:p>
        </w:tc>
        <w:tc>
          <w:tcPr>
            <w:tcW w:w="2654" w:type="dxa"/>
            <w:vAlign w:val="center"/>
          </w:tcPr>
          <w:p>
            <w:pPr>
              <w:pStyle w:val="16"/>
            </w:pPr>
            <w:r>
              <w:t>特需棚改造完成时间</w:t>
            </w:r>
          </w:p>
        </w:tc>
        <w:tc>
          <w:tcPr>
            <w:tcW w:w="1327" w:type="dxa"/>
            <w:vAlign w:val="center"/>
          </w:tcPr>
          <w:p>
            <w:pPr>
              <w:pStyle w:val="16"/>
            </w:pPr>
            <w:r>
              <w:t>6月底前</w:t>
            </w:r>
          </w:p>
        </w:tc>
        <w:tc>
          <w:tcPr>
            <w:tcW w:w="1327"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时效指标</w:t>
            </w:r>
          </w:p>
        </w:tc>
        <w:tc>
          <w:tcPr>
            <w:tcW w:w="1327" w:type="dxa"/>
            <w:vAlign w:val="center"/>
          </w:tcPr>
          <w:p>
            <w:pPr>
              <w:pStyle w:val="16"/>
            </w:pPr>
            <w:r>
              <w:t>看护时间</w:t>
            </w:r>
          </w:p>
        </w:tc>
        <w:tc>
          <w:tcPr>
            <w:tcW w:w="2654" w:type="dxa"/>
            <w:vAlign w:val="center"/>
          </w:tcPr>
          <w:p>
            <w:pPr>
              <w:pStyle w:val="16"/>
            </w:pPr>
            <w:r>
              <w:t>基地看护时间</w:t>
            </w:r>
          </w:p>
        </w:tc>
        <w:tc>
          <w:tcPr>
            <w:tcW w:w="1327" w:type="dxa"/>
            <w:vAlign w:val="center"/>
          </w:tcPr>
          <w:p>
            <w:pPr>
              <w:pStyle w:val="16"/>
            </w:pPr>
            <w:r>
              <w:t>≤365天</w:t>
            </w:r>
          </w:p>
        </w:tc>
        <w:tc>
          <w:tcPr>
            <w:tcW w:w="1327"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成本指标</w:t>
            </w:r>
          </w:p>
        </w:tc>
        <w:tc>
          <w:tcPr>
            <w:tcW w:w="1327" w:type="dxa"/>
            <w:vAlign w:val="center"/>
          </w:tcPr>
          <w:p>
            <w:pPr>
              <w:pStyle w:val="16"/>
            </w:pPr>
            <w:r>
              <w:t>网络平均维护成本</w:t>
            </w:r>
          </w:p>
        </w:tc>
        <w:tc>
          <w:tcPr>
            <w:tcW w:w="2654" w:type="dxa"/>
            <w:vAlign w:val="center"/>
          </w:tcPr>
          <w:p>
            <w:pPr>
              <w:pStyle w:val="16"/>
            </w:pPr>
            <w:r>
              <w:t>反映本部门网络维护平均成本控制情况</w:t>
            </w:r>
          </w:p>
        </w:tc>
        <w:tc>
          <w:tcPr>
            <w:tcW w:w="1327" w:type="dxa"/>
            <w:vAlign w:val="center"/>
          </w:tcPr>
          <w:p>
            <w:pPr>
              <w:pStyle w:val="16"/>
            </w:pPr>
            <w:r>
              <w:t>≤4000元</w:t>
            </w:r>
          </w:p>
        </w:tc>
        <w:tc>
          <w:tcPr>
            <w:tcW w:w="1327" w:type="dxa"/>
            <w:vAlign w:val="center"/>
          </w:tcPr>
          <w:p>
            <w:pPr>
              <w:pStyle w:val="16"/>
            </w:pPr>
            <w:r>
              <w:t>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成本指标</w:t>
            </w:r>
          </w:p>
        </w:tc>
        <w:tc>
          <w:tcPr>
            <w:tcW w:w="1327" w:type="dxa"/>
            <w:vAlign w:val="center"/>
          </w:tcPr>
          <w:p>
            <w:pPr>
              <w:pStyle w:val="16"/>
            </w:pPr>
            <w:r>
              <w:t>看护成本</w:t>
            </w:r>
          </w:p>
        </w:tc>
        <w:tc>
          <w:tcPr>
            <w:tcW w:w="2654" w:type="dxa"/>
            <w:vAlign w:val="center"/>
          </w:tcPr>
          <w:p>
            <w:pPr>
              <w:pStyle w:val="16"/>
            </w:pPr>
            <w:r>
              <w:t>基地看护人均成本</w:t>
            </w:r>
          </w:p>
        </w:tc>
        <w:tc>
          <w:tcPr>
            <w:tcW w:w="1327" w:type="dxa"/>
            <w:vAlign w:val="center"/>
          </w:tcPr>
          <w:p>
            <w:pPr>
              <w:pStyle w:val="16"/>
            </w:pPr>
            <w:r>
              <w:t>≤3000人/月</w:t>
            </w:r>
          </w:p>
        </w:tc>
        <w:tc>
          <w:tcPr>
            <w:tcW w:w="1327" w:type="dxa"/>
            <w:vAlign w:val="center"/>
          </w:tcPr>
          <w:p>
            <w:pPr>
              <w:pStyle w:val="16"/>
            </w:pPr>
            <w:r>
              <w:t>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restart"/>
            <w:vAlign w:val="center"/>
          </w:tcPr>
          <w:p>
            <w:pPr>
              <w:pStyle w:val="17"/>
            </w:pPr>
            <w:r>
              <w:t>效益指标</w:t>
            </w:r>
          </w:p>
        </w:tc>
        <w:tc>
          <w:tcPr>
            <w:tcW w:w="1327" w:type="dxa"/>
            <w:vAlign w:val="center"/>
          </w:tcPr>
          <w:p>
            <w:pPr>
              <w:pStyle w:val="16"/>
            </w:pPr>
            <w:r>
              <w:t>社会效益指标</w:t>
            </w:r>
          </w:p>
        </w:tc>
        <w:tc>
          <w:tcPr>
            <w:tcW w:w="1327" w:type="dxa"/>
            <w:vAlign w:val="center"/>
          </w:tcPr>
          <w:p>
            <w:pPr>
              <w:pStyle w:val="16"/>
            </w:pPr>
            <w:r>
              <w:t>接受科技服务农户科技获得感提升率</w:t>
            </w:r>
          </w:p>
        </w:tc>
        <w:tc>
          <w:tcPr>
            <w:tcW w:w="2654" w:type="dxa"/>
            <w:vAlign w:val="center"/>
          </w:tcPr>
          <w:p>
            <w:pPr>
              <w:pStyle w:val="16"/>
            </w:pPr>
            <w:r>
              <w:t>接受科技服务、技术指导的农户科技获得感提升情况</w:t>
            </w:r>
          </w:p>
        </w:tc>
        <w:tc>
          <w:tcPr>
            <w:tcW w:w="1327" w:type="dxa"/>
            <w:vAlign w:val="center"/>
          </w:tcPr>
          <w:p>
            <w:pPr>
              <w:pStyle w:val="16"/>
            </w:pPr>
            <w:r>
              <w:t>≥95百分比</w:t>
            </w:r>
          </w:p>
        </w:tc>
        <w:tc>
          <w:tcPr>
            <w:tcW w:w="1327"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社会效益指标</w:t>
            </w:r>
          </w:p>
        </w:tc>
        <w:tc>
          <w:tcPr>
            <w:tcW w:w="1327" w:type="dxa"/>
            <w:vAlign w:val="center"/>
          </w:tcPr>
          <w:p>
            <w:pPr>
              <w:pStyle w:val="16"/>
            </w:pPr>
            <w:r>
              <w:t>开展实验品种数量</w:t>
            </w:r>
          </w:p>
        </w:tc>
        <w:tc>
          <w:tcPr>
            <w:tcW w:w="2654" w:type="dxa"/>
            <w:vAlign w:val="center"/>
          </w:tcPr>
          <w:p>
            <w:pPr>
              <w:pStyle w:val="16"/>
            </w:pPr>
            <w:r>
              <w:t>基地开展实验品种数量</w:t>
            </w:r>
          </w:p>
        </w:tc>
        <w:tc>
          <w:tcPr>
            <w:tcW w:w="1327" w:type="dxa"/>
            <w:vAlign w:val="center"/>
          </w:tcPr>
          <w:p>
            <w:pPr>
              <w:pStyle w:val="16"/>
            </w:pPr>
            <w:r>
              <w:t>≥110个</w:t>
            </w:r>
          </w:p>
        </w:tc>
        <w:tc>
          <w:tcPr>
            <w:tcW w:w="1327"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可持续影响指标</w:t>
            </w:r>
          </w:p>
        </w:tc>
        <w:tc>
          <w:tcPr>
            <w:tcW w:w="1327" w:type="dxa"/>
            <w:vAlign w:val="center"/>
          </w:tcPr>
          <w:p>
            <w:pPr>
              <w:pStyle w:val="16"/>
            </w:pPr>
            <w:r>
              <w:t>促进农业发展多样化</w:t>
            </w:r>
          </w:p>
        </w:tc>
        <w:tc>
          <w:tcPr>
            <w:tcW w:w="2654" w:type="dxa"/>
            <w:vAlign w:val="center"/>
          </w:tcPr>
          <w:p>
            <w:pPr>
              <w:pStyle w:val="16"/>
            </w:pPr>
            <w:r>
              <w:t>是否促进农业多元化发展</w:t>
            </w:r>
          </w:p>
        </w:tc>
        <w:tc>
          <w:tcPr>
            <w:tcW w:w="1327" w:type="dxa"/>
            <w:vAlign w:val="center"/>
          </w:tcPr>
          <w:p>
            <w:pPr>
              <w:pStyle w:val="16"/>
            </w:pPr>
            <w:r>
              <w:t>是</w:t>
            </w:r>
          </w:p>
        </w:tc>
        <w:tc>
          <w:tcPr>
            <w:tcW w:w="1327"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可持续影响指标</w:t>
            </w:r>
          </w:p>
        </w:tc>
        <w:tc>
          <w:tcPr>
            <w:tcW w:w="1327" w:type="dxa"/>
            <w:vAlign w:val="center"/>
          </w:tcPr>
          <w:p>
            <w:pPr>
              <w:pStyle w:val="16"/>
            </w:pPr>
            <w:r>
              <w:t>两个基地正常运行时间</w:t>
            </w:r>
          </w:p>
        </w:tc>
        <w:tc>
          <w:tcPr>
            <w:tcW w:w="2654" w:type="dxa"/>
            <w:vAlign w:val="center"/>
          </w:tcPr>
          <w:p>
            <w:pPr>
              <w:pStyle w:val="16"/>
            </w:pPr>
            <w:r>
              <w:t>维护基地正常运行时间情况</w:t>
            </w:r>
          </w:p>
        </w:tc>
        <w:tc>
          <w:tcPr>
            <w:tcW w:w="1327" w:type="dxa"/>
            <w:vAlign w:val="center"/>
          </w:tcPr>
          <w:p>
            <w:pPr>
              <w:pStyle w:val="16"/>
            </w:pPr>
            <w:r>
              <w:t>≥1年</w:t>
            </w:r>
          </w:p>
        </w:tc>
        <w:tc>
          <w:tcPr>
            <w:tcW w:w="1327"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Align w:val="center"/>
          </w:tcPr>
          <w:p>
            <w:pPr>
              <w:pStyle w:val="17"/>
            </w:pPr>
            <w:r>
              <w:t>满意度指标</w:t>
            </w:r>
          </w:p>
        </w:tc>
        <w:tc>
          <w:tcPr>
            <w:tcW w:w="1327" w:type="dxa"/>
            <w:vAlign w:val="center"/>
          </w:tcPr>
          <w:p>
            <w:pPr>
              <w:pStyle w:val="16"/>
            </w:pPr>
            <w:r>
              <w:t>服务对象满意度指标</w:t>
            </w:r>
          </w:p>
        </w:tc>
        <w:tc>
          <w:tcPr>
            <w:tcW w:w="1327" w:type="dxa"/>
            <w:vAlign w:val="center"/>
          </w:tcPr>
          <w:p>
            <w:pPr>
              <w:pStyle w:val="16"/>
            </w:pPr>
            <w:r>
              <w:t>接受服务农户的满意度</w:t>
            </w:r>
          </w:p>
        </w:tc>
        <w:tc>
          <w:tcPr>
            <w:tcW w:w="2654" w:type="dxa"/>
            <w:vAlign w:val="center"/>
          </w:tcPr>
          <w:p>
            <w:pPr>
              <w:pStyle w:val="16"/>
            </w:pPr>
            <w:r>
              <w:t>接受服务农户和基地使用人员的满意度情况</w:t>
            </w:r>
          </w:p>
        </w:tc>
        <w:tc>
          <w:tcPr>
            <w:tcW w:w="1327" w:type="dxa"/>
            <w:vAlign w:val="center"/>
          </w:tcPr>
          <w:p>
            <w:pPr>
              <w:pStyle w:val="16"/>
            </w:pPr>
            <w:r>
              <w:t>≥95百分比</w:t>
            </w:r>
          </w:p>
        </w:tc>
        <w:tc>
          <w:tcPr>
            <w:tcW w:w="1327" w:type="dxa"/>
            <w:vAlign w:val="center"/>
          </w:tcPr>
          <w:p>
            <w:pPr>
              <w:pStyle w:val="16"/>
            </w:pPr>
            <w:r>
              <w:t>计划标准</w:t>
            </w:r>
          </w:p>
        </w:tc>
      </w:tr>
    </w:tbl>
    <w:p>
      <w:pPr>
        <w:ind w:firstLine="560" w:firstLineChars="200"/>
        <w:jc w:val="left"/>
        <w:outlineLvl w:val="1"/>
        <w:rPr>
          <w:rFonts w:ascii="Times New Roman" w:hAnsi="Times New Roman" w:eastAsia="仿宋_GB2312" w:cs="Times New Roman"/>
          <w:sz w:val="28"/>
        </w:rPr>
      </w:pPr>
    </w:p>
    <w:p>
      <w:pPr>
        <w:jc w:val="left"/>
        <w:outlineLvl w:val="1"/>
        <w:rPr>
          <w:rFonts w:ascii="Times New Roman" w:hAnsi="Times New Roman" w:eastAsia="仿宋_GB2312" w:cs="Times New Roman"/>
          <w:sz w:val="28"/>
        </w:rPr>
      </w:pPr>
    </w:p>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p>
      <w:pPr>
        <w:sectPr>
          <w:pgSz w:w="11900" w:h="16840"/>
          <w:pgMar w:top="1984" w:right="1304" w:bottom="1134" w:left="1304" w:header="720" w:footer="720" w:gutter="0"/>
          <w:cols w:space="720" w:num="1"/>
        </w:sectPr>
      </w:pPr>
    </w:p>
    <w:p>
      <w:pPr>
        <w:numPr>
          <w:ilvl w:val="0"/>
          <w:numId w:val="0"/>
        </w:numPr>
        <w:jc w:val="left"/>
        <w:outlineLvl w:val="1"/>
        <w:rPr>
          <w:rFonts w:ascii="Times New Roman" w:hAnsi="Times New Roman" w:eastAsia="仿宋_GB2312" w:cs="Times New Roman"/>
          <w:sz w:val="28"/>
        </w:rPr>
      </w:pPr>
      <w:bookmarkStart w:id="1" w:name="_Toc_4_4_0000000005"/>
      <w:r>
        <w:rPr>
          <w:rFonts w:ascii="Times New Roman" w:hAnsi="Times New Roman" w:eastAsia="仿宋_GB2312" w:cs="Times New Roman"/>
          <w:sz w:val="28"/>
        </w:rPr>
        <w:t>2.廊坊市重要农业种质资源创新及农、牧业关键技术研究示范项目绩效目标表</w:t>
      </w:r>
      <w:bookmarkEnd w:id="1"/>
    </w:p>
    <w:tbl>
      <w:tblPr>
        <w:tblStyle w:val="10"/>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20"/>
            </w:pPr>
            <w:r>
              <w:t>485001廊坊市农林科学院本级</w:t>
            </w:r>
          </w:p>
        </w:tc>
        <w:tc>
          <w:tcPr>
            <w:tcW w:w="1843" w:type="dxa"/>
            <w:tcBorders>
              <w:top w:val="single" w:color="FFFFFF" w:sz="6" w:space="0"/>
              <w:left w:val="single" w:color="FFFFFF" w:sz="6" w:space="0"/>
              <w:right w:val="single" w:color="FFFFFF" w:sz="6" w:space="0"/>
            </w:tcBorders>
            <w:vAlign w:val="center"/>
          </w:tcPr>
          <w:p>
            <w:pPr>
              <w:pStyle w:val="1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项目编码</w:t>
            </w:r>
          </w:p>
        </w:tc>
        <w:tc>
          <w:tcPr>
            <w:tcW w:w="2608" w:type="dxa"/>
            <w:gridSpan w:val="2"/>
            <w:vAlign w:val="center"/>
          </w:tcPr>
          <w:p>
            <w:pPr>
              <w:pStyle w:val="16"/>
            </w:pPr>
            <w:r>
              <w:t>13100022P00313110001U</w:t>
            </w:r>
          </w:p>
        </w:tc>
        <w:tc>
          <w:tcPr>
            <w:tcW w:w="1587" w:type="dxa"/>
            <w:vAlign w:val="center"/>
          </w:tcPr>
          <w:p>
            <w:pPr>
              <w:pStyle w:val="14"/>
            </w:pPr>
            <w:r>
              <w:t>项目名称</w:t>
            </w:r>
          </w:p>
        </w:tc>
        <w:tc>
          <w:tcPr>
            <w:tcW w:w="4422" w:type="dxa"/>
            <w:gridSpan w:val="3"/>
            <w:vAlign w:val="center"/>
          </w:tcPr>
          <w:p>
            <w:pPr>
              <w:pStyle w:val="16"/>
            </w:pPr>
            <w:r>
              <w:t>廊坊市重要农业种质资源创新及农、牧业关键技术研究示范项目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6"/>
            </w:pPr>
            <w:r>
              <w:t>177.00</w:t>
            </w:r>
          </w:p>
        </w:tc>
        <w:tc>
          <w:tcPr>
            <w:tcW w:w="1587" w:type="dxa"/>
            <w:vAlign w:val="center"/>
          </w:tcPr>
          <w:p>
            <w:pPr>
              <w:pStyle w:val="14"/>
            </w:pPr>
            <w:r>
              <w:t>其中：财政    资金</w:t>
            </w:r>
          </w:p>
        </w:tc>
        <w:tc>
          <w:tcPr>
            <w:tcW w:w="1304" w:type="dxa"/>
            <w:vAlign w:val="center"/>
          </w:tcPr>
          <w:p>
            <w:pPr>
              <w:pStyle w:val="16"/>
            </w:pPr>
            <w:r>
              <w:t>177.00</w:t>
            </w:r>
          </w:p>
        </w:tc>
        <w:tc>
          <w:tcPr>
            <w:tcW w:w="1276" w:type="dxa"/>
            <w:vAlign w:val="center"/>
          </w:tcPr>
          <w:p>
            <w:pPr>
              <w:pStyle w:val="14"/>
            </w:pPr>
            <w:r>
              <w:t>其他资金</w:t>
            </w:r>
          </w:p>
        </w:tc>
        <w:tc>
          <w:tcPr>
            <w:tcW w:w="1843" w:type="dxa"/>
            <w:vAlign w:val="center"/>
          </w:tcPr>
          <w:p>
            <w:pPr>
              <w:pStyle w:val="16"/>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16"/>
            </w:pPr>
            <w:r>
              <w:t>此项目资金共计177万元，主要用于支付8个科研子课题和11个示范子课题产生的材料费、劳务费、专家咨询费、租赁费、委托业务费等</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资金支出计划（%）</w:t>
            </w:r>
          </w:p>
        </w:tc>
        <w:tc>
          <w:tcPr>
            <w:tcW w:w="2608" w:type="dxa"/>
            <w:gridSpan w:val="2"/>
            <w:vAlign w:val="center"/>
          </w:tcPr>
          <w:p>
            <w:pPr>
              <w:pStyle w:val="14"/>
            </w:pPr>
            <w:r>
              <w:t>3月底</w:t>
            </w:r>
          </w:p>
        </w:tc>
        <w:tc>
          <w:tcPr>
            <w:tcW w:w="1587" w:type="dxa"/>
            <w:vAlign w:val="center"/>
          </w:tcPr>
          <w:p>
            <w:pPr>
              <w:pStyle w:val="14"/>
            </w:pPr>
            <w:r>
              <w:t>6月底</w:t>
            </w:r>
          </w:p>
        </w:tc>
        <w:tc>
          <w:tcPr>
            <w:tcW w:w="1304" w:type="dxa"/>
            <w:vAlign w:val="center"/>
          </w:tcPr>
          <w:p>
            <w:pPr>
              <w:pStyle w:val="14"/>
            </w:pPr>
            <w:r>
              <w:t>10月底</w:t>
            </w:r>
          </w:p>
        </w:tc>
        <w:tc>
          <w:tcPr>
            <w:tcW w:w="3118" w:type="dxa"/>
            <w:gridSpan w:val="2"/>
            <w:vAlign w:val="center"/>
          </w:tcPr>
          <w:p>
            <w:pPr>
              <w:pStyle w:val="14"/>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17"/>
            </w:pPr>
            <w:r>
              <w:t>30%</w:t>
            </w:r>
          </w:p>
        </w:tc>
        <w:tc>
          <w:tcPr>
            <w:tcW w:w="1587" w:type="dxa"/>
            <w:vAlign w:val="center"/>
          </w:tcPr>
          <w:p>
            <w:pPr>
              <w:pStyle w:val="17"/>
            </w:pPr>
            <w:r>
              <w:t>60%</w:t>
            </w:r>
          </w:p>
        </w:tc>
        <w:tc>
          <w:tcPr>
            <w:tcW w:w="1304" w:type="dxa"/>
            <w:vAlign w:val="center"/>
          </w:tcPr>
          <w:p>
            <w:pPr>
              <w:pStyle w:val="17"/>
            </w:pPr>
            <w:r>
              <w:t>90%</w:t>
            </w:r>
          </w:p>
        </w:tc>
        <w:tc>
          <w:tcPr>
            <w:tcW w:w="3118" w:type="dxa"/>
            <w:gridSpan w:val="2"/>
            <w:vAlign w:val="center"/>
          </w:tcPr>
          <w:p>
            <w:pPr>
              <w:pStyle w:val="17"/>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617" w:type="dxa"/>
            <w:gridSpan w:val="6"/>
            <w:vAlign w:val="center"/>
          </w:tcPr>
          <w:p>
            <w:pPr>
              <w:pStyle w:val="16"/>
            </w:pPr>
            <w:r>
              <w:t>1.涉及8个研究子项目，引进种质资源不少于60个，筛选出涉及瓜果、蔬菜、花卉等优良品种不少于15个。解决本地区温室低效管理问题4个，编撰技术规程、发表论文不少于6篇，取得一定的阶段性成果，实现亩收益增长率10%以上，促进我是农业多元化发展。</w:t>
            </w:r>
          </w:p>
          <w:p>
            <w:pPr>
              <w:pStyle w:val="16"/>
            </w:pPr>
            <w:r>
              <w:t>2.开展11个示范子项目，示范新技术、新品种35个以上，示范项目占地155亩，棚室7个，组织观摩培训次数不少于7次，培训指导农户600人以上，提升农户意向率增长20%以上，当年产收项目亩收益增长率不低于5%，西甜瓜项目水肥节约率15%以上。项目发挥示范作用年限不低于1年，受训人满意度95%以上。</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10"/>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1327"/>
        <w:gridCol w:w="13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2891" w:type="dxa"/>
            <w:vAlign w:val="center"/>
          </w:tcPr>
          <w:p>
            <w:pPr>
              <w:pStyle w:val="14"/>
            </w:pPr>
            <w:r>
              <w:t>绩效指标描述</w:t>
            </w:r>
          </w:p>
        </w:tc>
        <w:tc>
          <w:tcPr>
            <w:tcW w:w="1276" w:type="dxa"/>
            <w:vAlign w:val="center"/>
          </w:tcPr>
          <w:p>
            <w:pPr>
              <w:pStyle w:val="14"/>
            </w:pPr>
            <w:r>
              <w:t>指标值</w:t>
            </w:r>
          </w:p>
        </w:tc>
        <w:tc>
          <w:tcPr>
            <w:tcW w:w="1843" w:type="dxa"/>
            <w:vAlign w:val="center"/>
          </w:tcPr>
          <w:p>
            <w:pPr>
              <w:pStyle w:val="14"/>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7"/>
            </w:pPr>
            <w:r>
              <w:t>产出指标</w:t>
            </w:r>
          </w:p>
        </w:tc>
        <w:tc>
          <w:tcPr>
            <w:tcW w:w="1276" w:type="dxa"/>
            <w:vAlign w:val="center"/>
          </w:tcPr>
          <w:p>
            <w:pPr>
              <w:pStyle w:val="16"/>
            </w:pPr>
            <w:r>
              <w:t>数量指标</w:t>
            </w:r>
          </w:p>
        </w:tc>
        <w:tc>
          <w:tcPr>
            <w:tcW w:w="1332" w:type="dxa"/>
            <w:vAlign w:val="center"/>
          </w:tcPr>
          <w:p>
            <w:pPr>
              <w:pStyle w:val="16"/>
            </w:pPr>
            <w:r>
              <w:t>研究项目实施数量</w:t>
            </w:r>
          </w:p>
        </w:tc>
        <w:tc>
          <w:tcPr>
            <w:tcW w:w="2891" w:type="dxa"/>
            <w:vAlign w:val="center"/>
          </w:tcPr>
          <w:p>
            <w:pPr>
              <w:pStyle w:val="16"/>
            </w:pPr>
            <w:r>
              <w:t>研究项目实施项数情况</w:t>
            </w:r>
          </w:p>
        </w:tc>
        <w:tc>
          <w:tcPr>
            <w:tcW w:w="1276" w:type="dxa"/>
            <w:vAlign w:val="center"/>
          </w:tcPr>
          <w:p>
            <w:pPr>
              <w:pStyle w:val="16"/>
            </w:pPr>
            <w:r>
              <w:t>8个</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数量指标</w:t>
            </w:r>
          </w:p>
        </w:tc>
        <w:tc>
          <w:tcPr>
            <w:tcW w:w="1332" w:type="dxa"/>
            <w:vAlign w:val="center"/>
          </w:tcPr>
          <w:p>
            <w:pPr>
              <w:pStyle w:val="16"/>
            </w:pPr>
            <w:r>
              <w:t>引进新品种种质资源数量</w:t>
            </w:r>
          </w:p>
        </w:tc>
        <w:tc>
          <w:tcPr>
            <w:tcW w:w="2891" w:type="dxa"/>
            <w:vAlign w:val="center"/>
          </w:tcPr>
          <w:p>
            <w:pPr>
              <w:pStyle w:val="16"/>
            </w:pPr>
            <w:r>
              <w:t>反映引进新品种种质资源数量情况</w:t>
            </w:r>
          </w:p>
        </w:tc>
        <w:tc>
          <w:tcPr>
            <w:tcW w:w="1276" w:type="dxa"/>
            <w:vAlign w:val="center"/>
          </w:tcPr>
          <w:p>
            <w:pPr>
              <w:pStyle w:val="16"/>
            </w:pPr>
            <w:r>
              <w:t>≥55个</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数量指标</w:t>
            </w:r>
          </w:p>
        </w:tc>
        <w:tc>
          <w:tcPr>
            <w:tcW w:w="1332" w:type="dxa"/>
            <w:vAlign w:val="center"/>
          </w:tcPr>
          <w:p>
            <w:pPr>
              <w:pStyle w:val="16"/>
            </w:pPr>
            <w:r>
              <w:t>示范项目数量</w:t>
            </w:r>
          </w:p>
        </w:tc>
        <w:tc>
          <w:tcPr>
            <w:tcW w:w="2891" w:type="dxa"/>
            <w:vAlign w:val="center"/>
          </w:tcPr>
          <w:p>
            <w:pPr>
              <w:pStyle w:val="16"/>
            </w:pPr>
            <w:r>
              <w:t>示范项目实施项数情况</w:t>
            </w:r>
          </w:p>
        </w:tc>
        <w:tc>
          <w:tcPr>
            <w:tcW w:w="1276" w:type="dxa"/>
            <w:vAlign w:val="center"/>
          </w:tcPr>
          <w:p>
            <w:pPr>
              <w:pStyle w:val="16"/>
            </w:pPr>
            <w:r>
              <w:t>11个</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数量指标</w:t>
            </w:r>
          </w:p>
        </w:tc>
        <w:tc>
          <w:tcPr>
            <w:tcW w:w="1332" w:type="dxa"/>
            <w:vAlign w:val="center"/>
          </w:tcPr>
          <w:p>
            <w:pPr>
              <w:pStyle w:val="16"/>
            </w:pPr>
            <w:r>
              <w:t>示范露地规模</w:t>
            </w:r>
          </w:p>
        </w:tc>
        <w:tc>
          <w:tcPr>
            <w:tcW w:w="2891" w:type="dxa"/>
            <w:vAlign w:val="center"/>
          </w:tcPr>
          <w:p>
            <w:pPr>
              <w:pStyle w:val="16"/>
            </w:pPr>
            <w:r>
              <w:t>示范品种占用露地规模情况</w:t>
            </w:r>
          </w:p>
        </w:tc>
        <w:tc>
          <w:tcPr>
            <w:tcW w:w="1276" w:type="dxa"/>
            <w:vAlign w:val="center"/>
          </w:tcPr>
          <w:p>
            <w:pPr>
              <w:pStyle w:val="16"/>
            </w:pPr>
            <w:r>
              <w:t>≥155亩</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数量指标</w:t>
            </w:r>
          </w:p>
        </w:tc>
        <w:tc>
          <w:tcPr>
            <w:tcW w:w="1332" w:type="dxa"/>
            <w:vAlign w:val="center"/>
          </w:tcPr>
          <w:p>
            <w:pPr>
              <w:pStyle w:val="16"/>
            </w:pPr>
            <w:r>
              <w:t>示范棚室数量</w:t>
            </w:r>
          </w:p>
        </w:tc>
        <w:tc>
          <w:tcPr>
            <w:tcW w:w="2891" w:type="dxa"/>
            <w:vAlign w:val="center"/>
          </w:tcPr>
          <w:p>
            <w:pPr>
              <w:pStyle w:val="16"/>
            </w:pPr>
            <w:r>
              <w:t>示范品种占用棚室数量情况</w:t>
            </w:r>
          </w:p>
        </w:tc>
        <w:tc>
          <w:tcPr>
            <w:tcW w:w="1276" w:type="dxa"/>
            <w:vAlign w:val="center"/>
          </w:tcPr>
          <w:p>
            <w:pPr>
              <w:pStyle w:val="16"/>
            </w:pPr>
            <w:r>
              <w:t>≥7个</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数量指标</w:t>
            </w:r>
          </w:p>
        </w:tc>
        <w:tc>
          <w:tcPr>
            <w:tcW w:w="1332" w:type="dxa"/>
            <w:vAlign w:val="center"/>
          </w:tcPr>
          <w:p>
            <w:pPr>
              <w:pStyle w:val="16"/>
            </w:pPr>
            <w:r>
              <w:t>新品种、新技术示范个数</w:t>
            </w:r>
          </w:p>
        </w:tc>
        <w:tc>
          <w:tcPr>
            <w:tcW w:w="2891" w:type="dxa"/>
            <w:vAlign w:val="center"/>
          </w:tcPr>
          <w:p>
            <w:pPr>
              <w:pStyle w:val="16"/>
            </w:pPr>
            <w:r>
              <w:t>新品种、新技术示范个数情况</w:t>
            </w:r>
          </w:p>
        </w:tc>
        <w:tc>
          <w:tcPr>
            <w:tcW w:w="1276" w:type="dxa"/>
            <w:vAlign w:val="center"/>
          </w:tcPr>
          <w:p>
            <w:pPr>
              <w:pStyle w:val="16"/>
            </w:pPr>
            <w:r>
              <w:t>≥35个</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数量指标</w:t>
            </w:r>
          </w:p>
        </w:tc>
        <w:tc>
          <w:tcPr>
            <w:tcW w:w="1332" w:type="dxa"/>
            <w:vAlign w:val="center"/>
          </w:tcPr>
          <w:p>
            <w:pPr>
              <w:pStyle w:val="16"/>
            </w:pPr>
            <w:r>
              <w:t>现场观摩或培训次数</w:t>
            </w:r>
          </w:p>
        </w:tc>
        <w:tc>
          <w:tcPr>
            <w:tcW w:w="2891" w:type="dxa"/>
            <w:vAlign w:val="center"/>
          </w:tcPr>
          <w:p>
            <w:pPr>
              <w:pStyle w:val="16"/>
            </w:pPr>
            <w:r>
              <w:t>组织现场观摩或培训次数情况</w:t>
            </w:r>
          </w:p>
        </w:tc>
        <w:tc>
          <w:tcPr>
            <w:tcW w:w="1276" w:type="dxa"/>
            <w:vAlign w:val="center"/>
          </w:tcPr>
          <w:p>
            <w:pPr>
              <w:pStyle w:val="16"/>
            </w:pPr>
            <w:r>
              <w:t>≥7次</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质量指标</w:t>
            </w:r>
          </w:p>
        </w:tc>
        <w:tc>
          <w:tcPr>
            <w:tcW w:w="1332" w:type="dxa"/>
            <w:vAlign w:val="center"/>
          </w:tcPr>
          <w:p>
            <w:pPr>
              <w:pStyle w:val="16"/>
            </w:pPr>
            <w:r>
              <w:t>生产资料质量合格率</w:t>
            </w:r>
          </w:p>
        </w:tc>
        <w:tc>
          <w:tcPr>
            <w:tcW w:w="2891" w:type="dxa"/>
            <w:vAlign w:val="center"/>
          </w:tcPr>
          <w:p>
            <w:pPr>
              <w:pStyle w:val="16"/>
            </w:pPr>
            <w:r>
              <w:t>反映农药、种子、化肥等生产资料质量合格情况</w:t>
            </w:r>
          </w:p>
        </w:tc>
        <w:tc>
          <w:tcPr>
            <w:tcW w:w="1276" w:type="dxa"/>
            <w:vAlign w:val="center"/>
          </w:tcPr>
          <w:p>
            <w:pPr>
              <w:pStyle w:val="16"/>
            </w:pPr>
            <w:r>
              <w:t>100百分比</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质量指标</w:t>
            </w:r>
          </w:p>
        </w:tc>
        <w:tc>
          <w:tcPr>
            <w:tcW w:w="1332" w:type="dxa"/>
            <w:vAlign w:val="center"/>
          </w:tcPr>
          <w:p>
            <w:pPr>
              <w:pStyle w:val="16"/>
            </w:pPr>
            <w:r>
              <w:t>示范规模达标率</w:t>
            </w:r>
          </w:p>
        </w:tc>
        <w:tc>
          <w:tcPr>
            <w:tcW w:w="2891" w:type="dxa"/>
            <w:vAlign w:val="center"/>
          </w:tcPr>
          <w:p>
            <w:pPr>
              <w:pStyle w:val="16"/>
            </w:pPr>
            <w:r>
              <w:t>新品种、新技术示范规模达标情况</w:t>
            </w:r>
          </w:p>
        </w:tc>
        <w:tc>
          <w:tcPr>
            <w:tcW w:w="1276" w:type="dxa"/>
            <w:vAlign w:val="center"/>
          </w:tcPr>
          <w:p>
            <w:pPr>
              <w:pStyle w:val="16"/>
            </w:pPr>
            <w:r>
              <w:t>100百分比</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质量指标</w:t>
            </w:r>
          </w:p>
        </w:tc>
        <w:tc>
          <w:tcPr>
            <w:tcW w:w="1332" w:type="dxa"/>
            <w:vAlign w:val="center"/>
          </w:tcPr>
          <w:p>
            <w:pPr>
              <w:pStyle w:val="16"/>
            </w:pPr>
            <w:r>
              <w:t>项目验收通过率</w:t>
            </w:r>
          </w:p>
        </w:tc>
        <w:tc>
          <w:tcPr>
            <w:tcW w:w="2891" w:type="dxa"/>
            <w:vAlign w:val="center"/>
          </w:tcPr>
          <w:p>
            <w:pPr>
              <w:pStyle w:val="16"/>
            </w:pPr>
            <w:r>
              <w:t>通过验收的项目占应验收项目总数的比例</w:t>
            </w:r>
          </w:p>
        </w:tc>
        <w:tc>
          <w:tcPr>
            <w:tcW w:w="1276" w:type="dxa"/>
            <w:vAlign w:val="center"/>
          </w:tcPr>
          <w:p>
            <w:pPr>
              <w:pStyle w:val="16"/>
            </w:pPr>
            <w:r>
              <w:t>100百分比</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时效指标</w:t>
            </w:r>
          </w:p>
        </w:tc>
        <w:tc>
          <w:tcPr>
            <w:tcW w:w="1332" w:type="dxa"/>
            <w:vAlign w:val="center"/>
          </w:tcPr>
          <w:p>
            <w:pPr>
              <w:pStyle w:val="16"/>
            </w:pPr>
            <w:r>
              <w:t>项目开展及时性</w:t>
            </w:r>
          </w:p>
        </w:tc>
        <w:tc>
          <w:tcPr>
            <w:tcW w:w="2891" w:type="dxa"/>
            <w:vAlign w:val="center"/>
          </w:tcPr>
          <w:p>
            <w:pPr>
              <w:pStyle w:val="16"/>
            </w:pPr>
            <w:r>
              <w:t>按照项目时间节点实施情况</w:t>
            </w:r>
          </w:p>
        </w:tc>
        <w:tc>
          <w:tcPr>
            <w:tcW w:w="1276" w:type="dxa"/>
            <w:vAlign w:val="center"/>
          </w:tcPr>
          <w:p>
            <w:pPr>
              <w:pStyle w:val="16"/>
            </w:pPr>
            <w:r>
              <w:t>及时</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成本指标</w:t>
            </w:r>
          </w:p>
        </w:tc>
        <w:tc>
          <w:tcPr>
            <w:tcW w:w="1332" w:type="dxa"/>
            <w:vAlign w:val="center"/>
          </w:tcPr>
          <w:p>
            <w:pPr>
              <w:pStyle w:val="16"/>
            </w:pPr>
            <w:r>
              <w:t>单个项目研究成本</w:t>
            </w:r>
          </w:p>
        </w:tc>
        <w:tc>
          <w:tcPr>
            <w:tcW w:w="2891" w:type="dxa"/>
            <w:vAlign w:val="center"/>
          </w:tcPr>
          <w:p>
            <w:pPr>
              <w:pStyle w:val="16"/>
            </w:pPr>
            <w:r>
              <w:t>单个项目平均研究成本</w:t>
            </w:r>
          </w:p>
        </w:tc>
        <w:tc>
          <w:tcPr>
            <w:tcW w:w="1276" w:type="dxa"/>
            <w:vAlign w:val="center"/>
          </w:tcPr>
          <w:p>
            <w:pPr>
              <w:pStyle w:val="16"/>
            </w:pPr>
            <w:r>
              <w:t>≤12.5万元</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成本指标</w:t>
            </w:r>
          </w:p>
        </w:tc>
        <w:tc>
          <w:tcPr>
            <w:tcW w:w="1332" w:type="dxa"/>
            <w:vAlign w:val="center"/>
          </w:tcPr>
          <w:p>
            <w:pPr>
              <w:pStyle w:val="16"/>
            </w:pPr>
            <w:r>
              <w:t>示范项目平均成本</w:t>
            </w:r>
          </w:p>
        </w:tc>
        <w:tc>
          <w:tcPr>
            <w:tcW w:w="2891" w:type="dxa"/>
            <w:vAlign w:val="center"/>
          </w:tcPr>
          <w:p>
            <w:pPr>
              <w:pStyle w:val="16"/>
            </w:pPr>
            <w:r>
              <w:t>反应单一成本控制情况</w:t>
            </w:r>
          </w:p>
        </w:tc>
        <w:tc>
          <w:tcPr>
            <w:tcW w:w="1276" w:type="dxa"/>
            <w:vAlign w:val="center"/>
          </w:tcPr>
          <w:p>
            <w:pPr>
              <w:pStyle w:val="16"/>
            </w:pPr>
            <w:r>
              <w:t>≤7.2万元</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7"/>
            </w:pPr>
            <w:r>
              <w:t>效益指标</w:t>
            </w:r>
          </w:p>
        </w:tc>
        <w:tc>
          <w:tcPr>
            <w:tcW w:w="1276" w:type="dxa"/>
            <w:vAlign w:val="center"/>
          </w:tcPr>
          <w:p>
            <w:pPr>
              <w:pStyle w:val="16"/>
            </w:pPr>
            <w:r>
              <w:t>社会效益指标</w:t>
            </w:r>
          </w:p>
        </w:tc>
        <w:tc>
          <w:tcPr>
            <w:tcW w:w="1332" w:type="dxa"/>
            <w:vAlign w:val="center"/>
          </w:tcPr>
          <w:p>
            <w:pPr>
              <w:pStyle w:val="16"/>
            </w:pPr>
            <w:r>
              <w:t>筛选出优良品种资源数量</w:t>
            </w:r>
          </w:p>
        </w:tc>
        <w:tc>
          <w:tcPr>
            <w:tcW w:w="2891" w:type="dxa"/>
            <w:vAlign w:val="center"/>
          </w:tcPr>
          <w:p>
            <w:pPr>
              <w:pStyle w:val="16"/>
            </w:pPr>
            <w:r>
              <w:t>反映研究项目筛选出优良品种资源数量情况</w:t>
            </w:r>
          </w:p>
        </w:tc>
        <w:tc>
          <w:tcPr>
            <w:tcW w:w="1276" w:type="dxa"/>
            <w:vAlign w:val="center"/>
          </w:tcPr>
          <w:p>
            <w:pPr>
              <w:pStyle w:val="16"/>
            </w:pPr>
            <w:r>
              <w:t>≥15个</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社会效益指标</w:t>
            </w:r>
          </w:p>
        </w:tc>
        <w:tc>
          <w:tcPr>
            <w:tcW w:w="1332" w:type="dxa"/>
            <w:vAlign w:val="center"/>
          </w:tcPr>
          <w:p>
            <w:pPr>
              <w:pStyle w:val="16"/>
            </w:pPr>
            <w:r>
              <w:t>提升农户采用新技术或新品种意向率</w:t>
            </w:r>
          </w:p>
        </w:tc>
        <w:tc>
          <w:tcPr>
            <w:tcW w:w="2891" w:type="dxa"/>
            <w:vAlign w:val="center"/>
          </w:tcPr>
          <w:p>
            <w:pPr>
              <w:pStyle w:val="16"/>
            </w:pPr>
            <w:r>
              <w:t>反映部分项目对提升当地农户采用新技术、新品种的意向增长情况</w:t>
            </w:r>
          </w:p>
        </w:tc>
        <w:tc>
          <w:tcPr>
            <w:tcW w:w="1276" w:type="dxa"/>
            <w:vAlign w:val="center"/>
          </w:tcPr>
          <w:p>
            <w:pPr>
              <w:pStyle w:val="16"/>
            </w:pPr>
            <w:r>
              <w:t>≥20百分比</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社会效益指标</w:t>
            </w:r>
          </w:p>
        </w:tc>
        <w:tc>
          <w:tcPr>
            <w:tcW w:w="1332" w:type="dxa"/>
            <w:vAlign w:val="center"/>
          </w:tcPr>
          <w:p>
            <w:pPr>
              <w:pStyle w:val="16"/>
            </w:pPr>
            <w:r>
              <w:t>解决问题数量</w:t>
            </w:r>
          </w:p>
        </w:tc>
        <w:tc>
          <w:tcPr>
            <w:tcW w:w="2891" w:type="dxa"/>
            <w:vAlign w:val="center"/>
          </w:tcPr>
          <w:p>
            <w:pPr>
              <w:pStyle w:val="16"/>
            </w:pPr>
            <w:r>
              <w:t>反映项目解决本地区温室低效管理问题数量情况</w:t>
            </w:r>
          </w:p>
        </w:tc>
        <w:tc>
          <w:tcPr>
            <w:tcW w:w="1276" w:type="dxa"/>
            <w:vAlign w:val="center"/>
          </w:tcPr>
          <w:p>
            <w:pPr>
              <w:pStyle w:val="16"/>
            </w:pPr>
            <w:r>
              <w:t>4个</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社会效益指标</w:t>
            </w:r>
          </w:p>
        </w:tc>
        <w:tc>
          <w:tcPr>
            <w:tcW w:w="1332" w:type="dxa"/>
            <w:vAlign w:val="center"/>
          </w:tcPr>
          <w:p>
            <w:pPr>
              <w:pStyle w:val="16"/>
            </w:pPr>
            <w:r>
              <w:t>培训指导农户人数</w:t>
            </w:r>
          </w:p>
        </w:tc>
        <w:tc>
          <w:tcPr>
            <w:tcW w:w="2891" w:type="dxa"/>
            <w:vAlign w:val="center"/>
          </w:tcPr>
          <w:p>
            <w:pPr>
              <w:pStyle w:val="16"/>
            </w:pPr>
            <w:r>
              <w:t>接受技术指导培训的农户人数情况</w:t>
            </w:r>
          </w:p>
        </w:tc>
        <w:tc>
          <w:tcPr>
            <w:tcW w:w="1276" w:type="dxa"/>
            <w:vAlign w:val="center"/>
          </w:tcPr>
          <w:p>
            <w:pPr>
              <w:pStyle w:val="16"/>
            </w:pPr>
            <w:r>
              <w:t>≥600人</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可持续影响指标</w:t>
            </w:r>
          </w:p>
        </w:tc>
        <w:tc>
          <w:tcPr>
            <w:tcW w:w="1332" w:type="dxa"/>
            <w:vAlign w:val="center"/>
          </w:tcPr>
          <w:p>
            <w:pPr>
              <w:pStyle w:val="16"/>
            </w:pPr>
            <w:r>
              <w:t>编制或发表技术规程、论文数量</w:t>
            </w:r>
          </w:p>
        </w:tc>
        <w:tc>
          <w:tcPr>
            <w:tcW w:w="2891" w:type="dxa"/>
            <w:vAlign w:val="center"/>
          </w:tcPr>
          <w:p>
            <w:pPr>
              <w:pStyle w:val="16"/>
            </w:pPr>
            <w:r>
              <w:t>反映通过项目开展撰写技术规程或发表论文情况</w:t>
            </w:r>
          </w:p>
        </w:tc>
        <w:tc>
          <w:tcPr>
            <w:tcW w:w="1276" w:type="dxa"/>
            <w:vAlign w:val="center"/>
          </w:tcPr>
          <w:p>
            <w:pPr>
              <w:pStyle w:val="16"/>
            </w:pPr>
            <w:r>
              <w:t>≥6篇</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经济效益指标</w:t>
            </w:r>
          </w:p>
        </w:tc>
        <w:tc>
          <w:tcPr>
            <w:tcW w:w="1332" w:type="dxa"/>
            <w:vAlign w:val="center"/>
          </w:tcPr>
          <w:p>
            <w:pPr>
              <w:pStyle w:val="16"/>
            </w:pPr>
            <w:r>
              <w:t>亩收益增长率</w:t>
            </w:r>
          </w:p>
        </w:tc>
        <w:tc>
          <w:tcPr>
            <w:tcW w:w="2891" w:type="dxa"/>
            <w:vAlign w:val="center"/>
          </w:tcPr>
          <w:p>
            <w:pPr>
              <w:pStyle w:val="16"/>
            </w:pPr>
            <w:r>
              <w:t>反映部分实施研究项目的收益增收比率情况</w:t>
            </w:r>
          </w:p>
        </w:tc>
        <w:tc>
          <w:tcPr>
            <w:tcW w:w="1276" w:type="dxa"/>
            <w:vAlign w:val="center"/>
          </w:tcPr>
          <w:p>
            <w:pPr>
              <w:pStyle w:val="16"/>
            </w:pPr>
            <w:r>
              <w:t>≥10百分比</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生态效益指标</w:t>
            </w:r>
          </w:p>
        </w:tc>
        <w:tc>
          <w:tcPr>
            <w:tcW w:w="1332" w:type="dxa"/>
            <w:vAlign w:val="center"/>
          </w:tcPr>
          <w:p>
            <w:pPr>
              <w:pStyle w:val="16"/>
            </w:pPr>
            <w:r>
              <w:t>经济林绿化面积数量</w:t>
            </w:r>
          </w:p>
        </w:tc>
        <w:tc>
          <w:tcPr>
            <w:tcW w:w="2891" w:type="dxa"/>
            <w:vAlign w:val="center"/>
          </w:tcPr>
          <w:p>
            <w:pPr>
              <w:pStyle w:val="16"/>
            </w:pPr>
            <w:r>
              <w:t>增加本市林木绿化面积数量情况</w:t>
            </w:r>
          </w:p>
        </w:tc>
        <w:tc>
          <w:tcPr>
            <w:tcW w:w="1276" w:type="dxa"/>
            <w:vAlign w:val="center"/>
          </w:tcPr>
          <w:p>
            <w:pPr>
              <w:pStyle w:val="16"/>
            </w:pPr>
            <w:r>
              <w:t>≥5亩</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经济效益指标</w:t>
            </w:r>
          </w:p>
        </w:tc>
        <w:tc>
          <w:tcPr>
            <w:tcW w:w="1332" w:type="dxa"/>
            <w:vAlign w:val="center"/>
          </w:tcPr>
          <w:p>
            <w:pPr>
              <w:pStyle w:val="16"/>
            </w:pPr>
            <w:r>
              <w:t>水肥节约率</w:t>
            </w:r>
          </w:p>
        </w:tc>
        <w:tc>
          <w:tcPr>
            <w:tcW w:w="2891" w:type="dxa"/>
            <w:vAlign w:val="center"/>
          </w:tcPr>
          <w:p>
            <w:pPr>
              <w:pStyle w:val="16"/>
            </w:pPr>
            <w:r>
              <w:t>反映西甜瓜项目水肥节约率情况</w:t>
            </w:r>
          </w:p>
        </w:tc>
        <w:tc>
          <w:tcPr>
            <w:tcW w:w="1276" w:type="dxa"/>
            <w:vAlign w:val="center"/>
          </w:tcPr>
          <w:p>
            <w:pPr>
              <w:pStyle w:val="16"/>
            </w:pPr>
            <w:r>
              <w:t>≥15百分比</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可持续影响指标</w:t>
            </w:r>
          </w:p>
        </w:tc>
        <w:tc>
          <w:tcPr>
            <w:tcW w:w="1332" w:type="dxa"/>
            <w:vAlign w:val="center"/>
          </w:tcPr>
          <w:p>
            <w:pPr>
              <w:pStyle w:val="16"/>
            </w:pPr>
            <w:r>
              <w:t>农业多元化</w:t>
            </w:r>
          </w:p>
        </w:tc>
        <w:tc>
          <w:tcPr>
            <w:tcW w:w="2891" w:type="dxa"/>
            <w:vAlign w:val="center"/>
          </w:tcPr>
          <w:p>
            <w:pPr>
              <w:pStyle w:val="16"/>
            </w:pPr>
            <w:r>
              <w:t>农业多元化发展是否有效</w:t>
            </w:r>
          </w:p>
        </w:tc>
        <w:tc>
          <w:tcPr>
            <w:tcW w:w="1276" w:type="dxa"/>
            <w:vAlign w:val="center"/>
          </w:tcPr>
          <w:p>
            <w:pPr>
              <w:pStyle w:val="16"/>
            </w:pPr>
            <w:r>
              <w:t>有效</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可持续影响指标</w:t>
            </w:r>
          </w:p>
        </w:tc>
        <w:tc>
          <w:tcPr>
            <w:tcW w:w="1332" w:type="dxa"/>
            <w:vAlign w:val="center"/>
          </w:tcPr>
          <w:p>
            <w:pPr>
              <w:pStyle w:val="16"/>
            </w:pPr>
            <w:r>
              <w:t>发挥示范作用年限</w:t>
            </w:r>
          </w:p>
        </w:tc>
        <w:tc>
          <w:tcPr>
            <w:tcW w:w="2891" w:type="dxa"/>
            <w:vAlign w:val="center"/>
          </w:tcPr>
          <w:p>
            <w:pPr>
              <w:pStyle w:val="16"/>
            </w:pPr>
            <w:r>
              <w:t>反映项目发挥示范作用年限情况</w:t>
            </w:r>
          </w:p>
        </w:tc>
        <w:tc>
          <w:tcPr>
            <w:tcW w:w="1276" w:type="dxa"/>
            <w:vAlign w:val="center"/>
          </w:tcPr>
          <w:p>
            <w:pPr>
              <w:pStyle w:val="16"/>
            </w:pPr>
            <w:r>
              <w:t>≥1年</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满意度指标</w:t>
            </w:r>
          </w:p>
        </w:tc>
        <w:tc>
          <w:tcPr>
            <w:tcW w:w="1276" w:type="dxa"/>
            <w:vAlign w:val="center"/>
          </w:tcPr>
          <w:p>
            <w:pPr>
              <w:pStyle w:val="16"/>
            </w:pPr>
            <w:r>
              <w:t>服务对象满意度指标</w:t>
            </w:r>
          </w:p>
        </w:tc>
        <w:tc>
          <w:tcPr>
            <w:tcW w:w="1332" w:type="dxa"/>
            <w:vAlign w:val="center"/>
          </w:tcPr>
          <w:p>
            <w:pPr>
              <w:pStyle w:val="16"/>
            </w:pPr>
            <w:r>
              <w:t>人员满意度</w:t>
            </w:r>
          </w:p>
        </w:tc>
        <w:tc>
          <w:tcPr>
            <w:tcW w:w="2891" w:type="dxa"/>
            <w:vAlign w:val="center"/>
          </w:tcPr>
          <w:p>
            <w:pPr>
              <w:pStyle w:val="16"/>
            </w:pPr>
            <w:r>
              <w:t>反映项目检查或参观受训人员满意度情况</w:t>
            </w:r>
          </w:p>
        </w:tc>
        <w:tc>
          <w:tcPr>
            <w:tcW w:w="1276" w:type="dxa"/>
            <w:vAlign w:val="center"/>
          </w:tcPr>
          <w:p>
            <w:pPr>
              <w:pStyle w:val="16"/>
            </w:pPr>
            <w:r>
              <w:t>≥95百分比</w:t>
            </w:r>
          </w:p>
        </w:tc>
        <w:tc>
          <w:tcPr>
            <w:tcW w:w="1843" w:type="dxa"/>
            <w:vAlign w:val="center"/>
          </w:tcPr>
          <w:p>
            <w:pPr>
              <w:pStyle w:val="16"/>
            </w:pPr>
            <w:r>
              <w:t>计划标准</w:t>
            </w:r>
          </w:p>
        </w:tc>
      </w:tr>
    </w:tbl>
    <w:p>
      <w:pPr>
        <w:numPr>
          <w:ilvl w:val="0"/>
          <w:numId w:val="0"/>
        </w:numPr>
        <w:jc w:val="left"/>
        <w:outlineLvl w:val="1"/>
        <w:rPr>
          <w:rFonts w:ascii="Times New Roman" w:hAnsi="Times New Roman" w:eastAsia="仿宋_GB2312" w:cs="Times New Roman"/>
          <w:sz w:val="28"/>
        </w:rPr>
      </w:pPr>
      <w:bookmarkStart w:id="2" w:name="_Toc_4_4_0000000006"/>
    </w:p>
    <w:p>
      <w:pPr>
        <w:numPr>
          <w:ilvl w:val="0"/>
          <w:numId w:val="0"/>
        </w:numPr>
        <w:jc w:val="left"/>
        <w:outlineLvl w:val="1"/>
        <w:rPr>
          <w:rFonts w:ascii="Times New Roman" w:hAnsi="Times New Roman" w:eastAsia="仿宋_GB2312" w:cs="Times New Roman"/>
          <w:sz w:val="28"/>
        </w:rPr>
      </w:pPr>
      <w:r>
        <w:rPr>
          <w:rFonts w:ascii="Times New Roman" w:hAnsi="Times New Roman" w:eastAsia="仿宋_GB2312" w:cs="Times New Roman"/>
          <w:sz w:val="28"/>
        </w:rPr>
        <w:t>3.西瓜田套种大豆高产节水栽培技术中试与示范绩效目标表</w:t>
      </w:r>
      <w:bookmarkEnd w:id="2"/>
    </w:p>
    <w:tbl>
      <w:tblPr>
        <w:tblStyle w:val="10"/>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20"/>
            </w:pPr>
            <w:r>
              <w:t>485001廊坊市农林科学院本级</w:t>
            </w:r>
          </w:p>
        </w:tc>
        <w:tc>
          <w:tcPr>
            <w:tcW w:w="1843" w:type="dxa"/>
            <w:tcBorders>
              <w:top w:val="single" w:color="FFFFFF" w:sz="6" w:space="0"/>
              <w:left w:val="single" w:color="FFFFFF" w:sz="6" w:space="0"/>
              <w:right w:val="single" w:color="FFFFFF" w:sz="6" w:space="0"/>
            </w:tcBorders>
            <w:vAlign w:val="center"/>
          </w:tcPr>
          <w:p>
            <w:pPr>
              <w:pStyle w:val="1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项目编码</w:t>
            </w:r>
          </w:p>
        </w:tc>
        <w:tc>
          <w:tcPr>
            <w:tcW w:w="2608" w:type="dxa"/>
            <w:gridSpan w:val="2"/>
            <w:vAlign w:val="center"/>
          </w:tcPr>
          <w:p>
            <w:pPr>
              <w:pStyle w:val="16"/>
            </w:pPr>
            <w:r>
              <w:t>13100022P00313210001H</w:t>
            </w:r>
          </w:p>
        </w:tc>
        <w:tc>
          <w:tcPr>
            <w:tcW w:w="1587" w:type="dxa"/>
            <w:vAlign w:val="center"/>
          </w:tcPr>
          <w:p>
            <w:pPr>
              <w:pStyle w:val="14"/>
            </w:pPr>
            <w:r>
              <w:t>项目名称</w:t>
            </w:r>
          </w:p>
        </w:tc>
        <w:tc>
          <w:tcPr>
            <w:tcW w:w="4422" w:type="dxa"/>
            <w:gridSpan w:val="3"/>
            <w:vAlign w:val="center"/>
          </w:tcPr>
          <w:p>
            <w:pPr>
              <w:pStyle w:val="16"/>
            </w:pPr>
            <w:r>
              <w:t>西瓜田套种大豆高产节水栽培技术中试与示范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6"/>
            </w:pPr>
            <w:r>
              <w:t>8.90</w:t>
            </w:r>
          </w:p>
        </w:tc>
        <w:tc>
          <w:tcPr>
            <w:tcW w:w="1587" w:type="dxa"/>
            <w:vAlign w:val="center"/>
          </w:tcPr>
          <w:p>
            <w:pPr>
              <w:pStyle w:val="14"/>
            </w:pPr>
            <w:r>
              <w:t>其中：财政    资金</w:t>
            </w:r>
          </w:p>
        </w:tc>
        <w:tc>
          <w:tcPr>
            <w:tcW w:w="1304" w:type="dxa"/>
            <w:vAlign w:val="center"/>
          </w:tcPr>
          <w:p>
            <w:pPr>
              <w:pStyle w:val="16"/>
            </w:pPr>
            <w:r>
              <w:t>8.90</w:t>
            </w:r>
          </w:p>
        </w:tc>
        <w:tc>
          <w:tcPr>
            <w:tcW w:w="1276" w:type="dxa"/>
            <w:vAlign w:val="center"/>
          </w:tcPr>
          <w:p>
            <w:pPr>
              <w:pStyle w:val="14"/>
            </w:pPr>
            <w:r>
              <w:t>其他资金</w:t>
            </w:r>
          </w:p>
        </w:tc>
        <w:tc>
          <w:tcPr>
            <w:tcW w:w="1843" w:type="dxa"/>
            <w:vAlign w:val="center"/>
          </w:tcPr>
          <w:p>
            <w:pPr>
              <w:pStyle w:val="16"/>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16"/>
            </w:pPr>
            <w:r>
              <w:t>预算资金8.9万元，主要用于支付项目实施过程中所需支材料费，测试化验费，差旅费，劳务费，专家咨询费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资金支出计划（%）</w:t>
            </w:r>
          </w:p>
        </w:tc>
        <w:tc>
          <w:tcPr>
            <w:tcW w:w="2608" w:type="dxa"/>
            <w:gridSpan w:val="2"/>
            <w:vAlign w:val="center"/>
          </w:tcPr>
          <w:p>
            <w:pPr>
              <w:pStyle w:val="14"/>
            </w:pPr>
            <w:r>
              <w:t>3月底</w:t>
            </w:r>
          </w:p>
        </w:tc>
        <w:tc>
          <w:tcPr>
            <w:tcW w:w="1587" w:type="dxa"/>
            <w:vAlign w:val="center"/>
          </w:tcPr>
          <w:p>
            <w:pPr>
              <w:pStyle w:val="14"/>
            </w:pPr>
            <w:r>
              <w:t>6月底</w:t>
            </w:r>
          </w:p>
        </w:tc>
        <w:tc>
          <w:tcPr>
            <w:tcW w:w="1304" w:type="dxa"/>
            <w:vAlign w:val="center"/>
          </w:tcPr>
          <w:p>
            <w:pPr>
              <w:pStyle w:val="14"/>
            </w:pPr>
            <w:r>
              <w:t>10月底</w:t>
            </w:r>
          </w:p>
        </w:tc>
        <w:tc>
          <w:tcPr>
            <w:tcW w:w="3118" w:type="dxa"/>
            <w:gridSpan w:val="2"/>
            <w:vAlign w:val="center"/>
          </w:tcPr>
          <w:p>
            <w:pPr>
              <w:pStyle w:val="14"/>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17"/>
            </w:pPr>
            <w:r>
              <w:t>30%</w:t>
            </w:r>
          </w:p>
        </w:tc>
        <w:tc>
          <w:tcPr>
            <w:tcW w:w="1587" w:type="dxa"/>
            <w:vAlign w:val="center"/>
          </w:tcPr>
          <w:p>
            <w:pPr>
              <w:pStyle w:val="17"/>
            </w:pPr>
            <w:r>
              <w:t>60%</w:t>
            </w:r>
          </w:p>
        </w:tc>
        <w:tc>
          <w:tcPr>
            <w:tcW w:w="1304" w:type="dxa"/>
            <w:vAlign w:val="center"/>
          </w:tcPr>
          <w:p>
            <w:pPr>
              <w:pStyle w:val="17"/>
            </w:pPr>
            <w:r>
              <w:t>90%</w:t>
            </w:r>
          </w:p>
        </w:tc>
        <w:tc>
          <w:tcPr>
            <w:tcW w:w="3118" w:type="dxa"/>
            <w:gridSpan w:val="2"/>
            <w:vAlign w:val="center"/>
          </w:tcPr>
          <w:p>
            <w:pPr>
              <w:pStyle w:val="17"/>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617" w:type="dxa"/>
            <w:gridSpan w:val="6"/>
            <w:vAlign w:val="center"/>
          </w:tcPr>
          <w:p>
            <w:pPr>
              <w:pStyle w:val="16"/>
            </w:pPr>
            <w:r>
              <w:t>1.. 建立示范基地2个，面积共500亩，编制《西瓜田套种大豆高产节水栽培技术规范》1套。</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10"/>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1327"/>
        <w:gridCol w:w="13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2891" w:type="dxa"/>
            <w:vAlign w:val="center"/>
          </w:tcPr>
          <w:p>
            <w:pPr>
              <w:pStyle w:val="14"/>
            </w:pPr>
            <w:r>
              <w:t>绩效指标描述</w:t>
            </w:r>
          </w:p>
        </w:tc>
        <w:tc>
          <w:tcPr>
            <w:tcW w:w="1276" w:type="dxa"/>
            <w:vAlign w:val="center"/>
          </w:tcPr>
          <w:p>
            <w:pPr>
              <w:pStyle w:val="14"/>
            </w:pPr>
            <w:r>
              <w:t>指标值</w:t>
            </w:r>
          </w:p>
        </w:tc>
        <w:tc>
          <w:tcPr>
            <w:tcW w:w="1843" w:type="dxa"/>
            <w:vAlign w:val="center"/>
          </w:tcPr>
          <w:p>
            <w:pPr>
              <w:pStyle w:val="14"/>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7"/>
            </w:pPr>
            <w:r>
              <w:t>产出指标</w:t>
            </w:r>
          </w:p>
        </w:tc>
        <w:tc>
          <w:tcPr>
            <w:tcW w:w="1276" w:type="dxa"/>
            <w:vAlign w:val="center"/>
          </w:tcPr>
          <w:p>
            <w:pPr>
              <w:pStyle w:val="16"/>
            </w:pPr>
            <w:r>
              <w:t>数量指标</w:t>
            </w:r>
          </w:p>
        </w:tc>
        <w:tc>
          <w:tcPr>
            <w:tcW w:w="1332" w:type="dxa"/>
            <w:vAlign w:val="center"/>
          </w:tcPr>
          <w:p>
            <w:pPr>
              <w:pStyle w:val="16"/>
            </w:pPr>
            <w:r>
              <w:t>试验示范基地面积</w:t>
            </w:r>
          </w:p>
        </w:tc>
        <w:tc>
          <w:tcPr>
            <w:tcW w:w="2891" w:type="dxa"/>
            <w:vAlign w:val="center"/>
          </w:tcPr>
          <w:p>
            <w:pPr>
              <w:pStyle w:val="16"/>
            </w:pPr>
            <w:r>
              <w:t>建立2个基地面积情况</w:t>
            </w:r>
          </w:p>
        </w:tc>
        <w:tc>
          <w:tcPr>
            <w:tcW w:w="1276" w:type="dxa"/>
            <w:vAlign w:val="center"/>
          </w:tcPr>
          <w:p>
            <w:pPr>
              <w:pStyle w:val="16"/>
            </w:pPr>
            <w:r>
              <w:t>≥500亩</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质量指标</w:t>
            </w:r>
          </w:p>
        </w:tc>
        <w:tc>
          <w:tcPr>
            <w:tcW w:w="1332" w:type="dxa"/>
            <w:vAlign w:val="center"/>
          </w:tcPr>
          <w:p>
            <w:pPr>
              <w:pStyle w:val="16"/>
            </w:pPr>
            <w:r>
              <w:t>试验、示范基地建立达标率</w:t>
            </w:r>
          </w:p>
        </w:tc>
        <w:tc>
          <w:tcPr>
            <w:tcW w:w="2891" w:type="dxa"/>
            <w:vAlign w:val="center"/>
          </w:tcPr>
          <w:p>
            <w:pPr>
              <w:pStyle w:val="16"/>
            </w:pPr>
            <w:r>
              <w:t>建立示范基地面积达标率</w:t>
            </w:r>
          </w:p>
        </w:tc>
        <w:tc>
          <w:tcPr>
            <w:tcW w:w="1276" w:type="dxa"/>
            <w:vAlign w:val="center"/>
          </w:tcPr>
          <w:p>
            <w:pPr>
              <w:pStyle w:val="16"/>
            </w:pPr>
            <w:r>
              <w:t>100百分比</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时效指标</w:t>
            </w:r>
          </w:p>
        </w:tc>
        <w:tc>
          <w:tcPr>
            <w:tcW w:w="1332" w:type="dxa"/>
            <w:vAlign w:val="center"/>
          </w:tcPr>
          <w:p>
            <w:pPr>
              <w:pStyle w:val="16"/>
            </w:pPr>
            <w:r>
              <w:t>项目实施及时性</w:t>
            </w:r>
          </w:p>
        </w:tc>
        <w:tc>
          <w:tcPr>
            <w:tcW w:w="2891" w:type="dxa"/>
            <w:vAlign w:val="center"/>
          </w:tcPr>
          <w:p>
            <w:pPr>
              <w:pStyle w:val="16"/>
            </w:pPr>
            <w:r>
              <w:t>项目完成及时性情况</w:t>
            </w:r>
          </w:p>
        </w:tc>
        <w:tc>
          <w:tcPr>
            <w:tcW w:w="1276" w:type="dxa"/>
            <w:vAlign w:val="center"/>
          </w:tcPr>
          <w:p>
            <w:pPr>
              <w:pStyle w:val="16"/>
            </w:pPr>
            <w:r>
              <w:t>及时</w:t>
            </w:r>
          </w:p>
        </w:tc>
        <w:tc>
          <w:tcPr>
            <w:tcW w:w="1843" w:type="dxa"/>
            <w:vAlign w:val="center"/>
          </w:tcPr>
          <w:p>
            <w:pPr>
              <w:pStyle w:val="16"/>
            </w:pPr>
            <w:r>
              <w:t>任务书规定</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成本指标</w:t>
            </w:r>
          </w:p>
        </w:tc>
        <w:tc>
          <w:tcPr>
            <w:tcW w:w="1332" w:type="dxa"/>
            <w:vAlign w:val="center"/>
          </w:tcPr>
          <w:p>
            <w:pPr>
              <w:pStyle w:val="16"/>
            </w:pPr>
            <w:r>
              <w:t>项目总成本控制</w:t>
            </w:r>
          </w:p>
        </w:tc>
        <w:tc>
          <w:tcPr>
            <w:tcW w:w="2891" w:type="dxa"/>
            <w:vAlign w:val="center"/>
          </w:tcPr>
          <w:p>
            <w:pPr>
              <w:pStyle w:val="16"/>
            </w:pPr>
            <w:r>
              <w:t>本年度项目总成本控制情况</w:t>
            </w:r>
          </w:p>
        </w:tc>
        <w:tc>
          <w:tcPr>
            <w:tcW w:w="1276" w:type="dxa"/>
            <w:vAlign w:val="center"/>
          </w:tcPr>
          <w:p>
            <w:pPr>
              <w:pStyle w:val="16"/>
            </w:pPr>
            <w:r>
              <w:t>≤8.9万元</w:t>
            </w:r>
          </w:p>
        </w:tc>
        <w:tc>
          <w:tcPr>
            <w:tcW w:w="1843" w:type="dxa"/>
            <w:vAlign w:val="center"/>
          </w:tcPr>
          <w:p>
            <w:pPr>
              <w:pStyle w:val="16"/>
            </w:pPr>
            <w:r>
              <w:t>项目任务书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7"/>
            </w:pPr>
            <w:r>
              <w:t>效益指标</w:t>
            </w:r>
          </w:p>
        </w:tc>
        <w:tc>
          <w:tcPr>
            <w:tcW w:w="1276" w:type="dxa"/>
            <w:vAlign w:val="center"/>
          </w:tcPr>
          <w:p>
            <w:pPr>
              <w:pStyle w:val="16"/>
            </w:pPr>
            <w:r>
              <w:t>社会效益指标</w:t>
            </w:r>
          </w:p>
        </w:tc>
        <w:tc>
          <w:tcPr>
            <w:tcW w:w="1332" w:type="dxa"/>
            <w:vAlign w:val="center"/>
          </w:tcPr>
          <w:p>
            <w:pPr>
              <w:pStyle w:val="16"/>
            </w:pPr>
            <w:r>
              <w:t>大豆单产增产量</w:t>
            </w:r>
          </w:p>
        </w:tc>
        <w:tc>
          <w:tcPr>
            <w:tcW w:w="2891" w:type="dxa"/>
            <w:vAlign w:val="center"/>
          </w:tcPr>
          <w:p>
            <w:pPr>
              <w:pStyle w:val="16"/>
            </w:pPr>
            <w:r>
              <w:t>大豆单产增产量情况</w:t>
            </w:r>
          </w:p>
        </w:tc>
        <w:tc>
          <w:tcPr>
            <w:tcW w:w="1276" w:type="dxa"/>
            <w:vAlign w:val="center"/>
          </w:tcPr>
          <w:p>
            <w:pPr>
              <w:pStyle w:val="16"/>
            </w:pPr>
            <w:r>
              <w:t>≥50千克</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经济效益指标</w:t>
            </w:r>
          </w:p>
        </w:tc>
        <w:tc>
          <w:tcPr>
            <w:tcW w:w="1332" w:type="dxa"/>
            <w:vAlign w:val="center"/>
          </w:tcPr>
          <w:p>
            <w:pPr>
              <w:pStyle w:val="16"/>
            </w:pPr>
            <w:r>
              <w:t>亩增收额</w:t>
            </w:r>
          </w:p>
        </w:tc>
        <w:tc>
          <w:tcPr>
            <w:tcW w:w="2891" w:type="dxa"/>
            <w:vAlign w:val="center"/>
          </w:tcPr>
          <w:p>
            <w:pPr>
              <w:pStyle w:val="16"/>
            </w:pPr>
            <w:r>
              <w:t>大豆每亩增收额情况</w:t>
            </w:r>
          </w:p>
        </w:tc>
        <w:tc>
          <w:tcPr>
            <w:tcW w:w="1276" w:type="dxa"/>
            <w:vAlign w:val="center"/>
          </w:tcPr>
          <w:p>
            <w:pPr>
              <w:pStyle w:val="16"/>
            </w:pPr>
            <w:r>
              <w:t>≥200元</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可持续影响指标</w:t>
            </w:r>
          </w:p>
        </w:tc>
        <w:tc>
          <w:tcPr>
            <w:tcW w:w="1332" w:type="dxa"/>
            <w:vAlign w:val="center"/>
          </w:tcPr>
          <w:p>
            <w:pPr>
              <w:pStyle w:val="16"/>
            </w:pPr>
            <w:r>
              <w:t>技术规程编制数量</w:t>
            </w:r>
          </w:p>
        </w:tc>
        <w:tc>
          <w:tcPr>
            <w:tcW w:w="2891" w:type="dxa"/>
            <w:vAlign w:val="center"/>
          </w:tcPr>
          <w:p>
            <w:pPr>
              <w:pStyle w:val="16"/>
            </w:pPr>
            <w:r>
              <w:t>技术规程编制数量情况</w:t>
            </w:r>
          </w:p>
        </w:tc>
        <w:tc>
          <w:tcPr>
            <w:tcW w:w="1276" w:type="dxa"/>
            <w:vAlign w:val="center"/>
          </w:tcPr>
          <w:p>
            <w:pPr>
              <w:pStyle w:val="16"/>
            </w:pPr>
            <w:r>
              <w:t>≥1套</w:t>
            </w:r>
          </w:p>
        </w:tc>
        <w:tc>
          <w:tcPr>
            <w:tcW w:w="1843" w:type="dxa"/>
            <w:vAlign w:val="center"/>
          </w:tcPr>
          <w:p>
            <w:pPr>
              <w:pStyle w:val="16"/>
            </w:pPr>
            <w:r>
              <w:t>项目任务书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满意度指标</w:t>
            </w:r>
          </w:p>
        </w:tc>
        <w:tc>
          <w:tcPr>
            <w:tcW w:w="1276" w:type="dxa"/>
            <w:vAlign w:val="center"/>
          </w:tcPr>
          <w:p>
            <w:pPr>
              <w:pStyle w:val="16"/>
            </w:pPr>
            <w:r>
              <w:t>服务对象满意度指标</w:t>
            </w:r>
          </w:p>
        </w:tc>
        <w:tc>
          <w:tcPr>
            <w:tcW w:w="1332" w:type="dxa"/>
            <w:vAlign w:val="center"/>
          </w:tcPr>
          <w:p>
            <w:pPr>
              <w:pStyle w:val="16"/>
            </w:pPr>
            <w:r>
              <w:t>培训农民满意度</w:t>
            </w:r>
          </w:p>
        </w:tc>
        <w:tc>
          <w:tcPr>
            <w:tcW w:w="2891" w:type="dxa"/>
            <w:vAlign w:val="center"/>
          </w:tcPr>
          <w:p>
            <w:pPr>
              <w:pStyle w:val="16"/>
            </w:pPr>
            <w:r>
              <w:t>培训农民对该技术应用满意度情况</w:t>
            </w:r>
          </w:p>
        </w:tc>
        <w:tc>
          <w:tcPr>
            <w:tcW w:w="1276" w:type="dxa"/>
            <w:vAlign w:val="center"/>
          </w:tcPr>
          <w:p>
            <w:pPr>
              <w:pStyle w:val="16"/>
            </w:pPr>
            <w:r>
              <w:t>≥95百分比</w:t>
            </w:r>
          </w:p>
        </w:tc>
        <w:tc>
          <w:tcPr>
            <w:tcW w:w="1843" w:type="dxa"/>
            <w:vAlign w:val="center"/>
          </w:tcPr>
          <w:p>
            <w:pPr>
              <w:pStyle w:val="16"/>
            </w:pPr>
            <w:r>
              <w:t>计划标准</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numPr>
          <w:ilvl w:val="0"/>
          <w:numId w:val="0"/>
        </w:numPr>
        <w:jc w:val="left"/>
        <w:outlineLvl w:val="1"/>
        <w:rPr>
          <w:rFonts w:ascii="Times New Roman" w:hAnsi="Times New Roman" w:eastAsia="仿宋_GB2312" w:cs="Times New Roman"/>
          <w:sz w:val="28"/>
        </w:rPr>
      </w:pPr>
      <w:bookmarkStart w:id="3" w:name="_Toc_4_4_0000000007"/>
      <w:r>
        <w:rPr>
          <w:rFonts w:ascii="Times New Roman" w:hAnsi="Times New Roman" w:eastAsia="仿宋_GB2312" w:cs="Times New Roman"/>
          <w:sz w:val="28"/>
        </w:rPr>
        <w:t>4.小豆新品种冀红18号中试与示范绩效目标表</w:t>
      </w:r>
      <w:bookmarkEnd w:id="3"/>
    </w:p>
    <w:tbl>
      <w:tblPr>
        <w:tblStyle w:val="10"/>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20"/>
            </w:pPr>
            <w:r>
              <w:t>485001廊坊市农林科学院本级</w:t>
            </w:r>
          </w:p>
        </w:tc>
        <w:tc>
          <w:tcPr>
            <w:tcW w:w="1843" w:type="dxa"/>
            <w:tcBorders>
              <w:top w:val="single" w:color="FFFFFF" w:sz="6" w:space="0"/>
              <w:left w:val="single" w:color="FFFFFF" w:sz="6" w:space="0"/>
              <w:right w:val="single" w:color="FFFFFF" w:sz="6" w:space="0"/>
            </w:tcBorders>
            <w:vAlign w:val="center"/>
          </w:tcPr>
          <w:p>
            <w:pPr>
              <w:pStyle w:val="1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100" w:hRule="atLeast"/>
          <w:jc w:val="center"/>
        </w:trPr>
        <w:tc>
          <w:tcPr>
            <w:tcW w:w="1276" w:type="dxa"/>
            <w:vAlign w:val="center"/>
          </w:tcPr>
          <w:p>
            <w:pPr>
              <w:pStyle w:val="14"/>
            </w:pPr>
            <w:r>
              <w:t>项目编码</w:t>
            </w:r>
          </w:p>
        </w:tc>
        <w:tc>
          <w:tcPr>
            <w:tcW w:w="2608" w:type="dxa"/>
            <w:gridSpan w:val="2"/>
            <w:vAlign w:val="center"/>
          </w:tcPr>
          <w:p>
            <w:pPr>
              <w:pStyle w:val="16"/>
            </w:pPr>
            <w:r>
              <w:t>13100022P00313410001W</w:t>
            </w:r>
          </w:p>
        </w:tc>
        <w:tc>
          <w:tcPr>
            <w:tcW w:w="1587" w:type="dxa"/>
            <w:vAlign w:val="center"/>
          </w:tcPr>
          <w:p>
            <w:pPr>
              <w:pStyle w:val="14"/>
            </w:pPr>
            <w:r>
              <w:t>项目名称</w:t>
            </w:r>
          </w:p>
        </w:tc>
        <w:tc>
          <w:tcPr>
            <w:tcW w:w="4422" w:type="dxa"/>
            <w:gridSpan w:val="3"/>
            <w:vAlign w:val="center"/>
          </w:tcPr>
          <w:p>
            <w:pPr>
              <w:pStyle w:val="16"/>
            </w:pPr>
            <w:r>
              <w:t>小豆新品种冀红18号中试与示范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6"/>
            </w:pPr>
            <w:r>
              <w:t>8.00</w:t>
            </w:r>
          </w:p>
        </w:tc>
        <w:tc>
          <w:tcPr>
            <w:tcW w:w="1587" w:type="dxa"/>
            <w:vAlign w:val="center"/>
          </w:tcPr>
          <w:p>
            <w:pPr>
              <w:pStyle w:val="14"/>
            </w:pPr>
            <w:r>
              <w:t>其中：财政    资金</w:t>
            </w:r>
          </w:p>
        </w:tc>
        <w:tc>
          <w:tcPr>
            <w:tcW w:w="1304" w:type="dxa"/>
            <w:vAlign w:val="center"/>
          </w:tcPr>
          <w:p>
            <w:pPr>
              <w:pStyle w:val="16"/>
            </w:pPr>
            <w:r>
              <w:t>8.00</w:t>
            </w:r>
          </w:p>
        </w:tc>
        <w:tc>
          <w:tcPr>
            <w:tcW w:w="1276" w:type="dxa"/>
            <w:vAlign w:val="center"/>
          </w:tcPr>
          <w:p>
            <w:pPr>
              <w:pStyle w:val="14"/>
            </w:pPr>
            <w:r>
              <w:t>其他资金</w:t>
            </w:r>
          </w:p>
        </w:tc>
        <w:tc>
          <w:tcPr>
            <w:tcW w:w="1843" w:type="dxa"/>
            <w:vAlign w:val="center"/>
          </w:tcPr>
          <w:p>
            <w:pPr>
              <w:pStyle w:val="16"/>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16"/>
            </w:pPr>
            <w:r>
              <w:t>预算资金8万元，全部为财政资金，主要用于支付项目实施过程中所需的材料、差旅、劳务及专家咨询等费用的支出。</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资金支出计划（%）</w:t>
            </w:r>
          </w:p>
        </w:tc>
        <w:tc>
          <w:tcPr>
            <w:tcW w:w="2608" w:type="dxa"/>
            <w:gridSpan w:val="2"/>
            <w:vAlign w:val="center"/>
          </w:tcPr>
          <w:p>
            <w:pPr>
              <w:pStyle w:val="14"/>
            </w:pPr>
            <w:r>
              <w:t>3月底</w:t>
            </w:r>
          </w:p>
        </w:tc>
        <w:tc>
          <w:tcPr>
            <w:tcW w:w="1587" w:type="dxa"/>
            <w:vAlign w:val="center"/>
          </w:tcPr>
          <w:p>
            <w:pPr>
              <w:pStyle w:val="14"/>
            </w:pPr>
            <w:r>
              <w:t>6月底</w:t>
            </w:r>
          </w:p>
        </w:tc>
        <w:tc>
          <w:tcPr>
            <w:tcW w:w="1304" w:type="dxa"/>
            <w:vAlign w:val="center"/>
          </w:tcPr>
          <w:p>
            <w:pPr>
              <w:pStyle w:val="14"/>
            </w:pPr>
            <w:r>
              <w:t>10月底</w:t>
            </w:r>
          </w:p>
        </w:tc>
        <w:tc>
          <w:tcPr>
            <w:tcW w:w="3118" w:type="dxa"/>
            <w:gridSpan w:val="2"/>
            <w:vAlign w:val="center"/>
          </w:tcPr>
          <w:p>
            <w:pPr>
              <w:pStyle w:val="14"/>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17"/>
            </w:pPr>
            <w:r>
              <w:t>30%</w:t>
            </w:r>
          </w:p>
        </w:tc>
        <w:tc>
          <w:tcPr>
            <w:tcW w:w="1587" w:type="dxa"/>
            <w:vAlign w:val="center"/>
          </w:tcPr>
          <w:p>
            <w:pPr>
              <w:pStyle w:val="17"/>
            </w:pPr>
            <w:r>
              <w:t>60%</w:t>
            </w:r>
          </w:p>
        </w:tc>
        <w:tc>
          <w:tcPr>
            <w:tcW w:w="1304" w:type="dxa"/>
            <w:vAlign w:val="center"/>
          </w:tcPr>
          <w:p>
            <w:pPr>
              <w:pStyle w:val="17"/>
            </w:pPr>
            <w:r>
              <w:t>90%</w:t>
            </w:r>
          </w:p>
        </w:tc>
        <w:tc>
          <w:tcPr>
            <w:tcW w:w="3118" w:type="dxa"/>
            <w:gridSpan w:val="2"/>
            <w:vAlign w:val="center"/>
          </w:tcPr>
          <w:p>
            <w:pPr>
              <w:pStyle w:val="17"/>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617" w:type="dxa"/>
            <w:gridSpan w:val="6"/>
            <w:vAlign w:val="center"/>
          </w:tcPr>
          <w:p>
            <w:pPr>
              <w:pStyle w:val="16"/>
            </w:pPr>
            <w:r>
              <w:t>1. 建立良种繁育基地面积100亩。示范推广面积1500亩，制定1套适合廊坊市的冀红18号优质高效栽培技术规范</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10"/>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1327"/>
        <w:gridCol w:w="13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2891" w:type="dxa"/>
            <w:vAlign w:val="center"/>
          </w:tcPr>
          <w:p>
            <w:pPr>
              <w:pStyle w:val="14"/>
            </w:pPr>
            <w:r>
              <w:t>绩效指标描述</w:t>
            </w:r>
          </w:p>
        </w:tc>
        <w:tc>
          <w:tcPr>
            <w:tcW w:w="1276" w:type="dxa"/>
            <w:vAlign w:val="center"/>
          </w:tcPr>
          <w:p>
            <w:pPr>
              <w:pStyle w:val="14"/>
            </w:pPr>
            <w:r>
              <w:t>指标值</w:t>
            </w:r>
          </w:p>
        </w:tc>
        <w:tc>
          <w:tcPr>
            <w:tcW w:w="1843" w:type="dxa"/>
            <w:vAlign w:val="center"/>
          </w:tcPr>
          <w:p>
            <w:pPr>
              <w:pStyle w:val="14"/>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7"/>
            </w:pPr>
            <w:r>
              <w:t>产出指标</w:t>
            </w:r>
          </w:p>
        </w:tc>
        <w:tc>
          <w:tcPr>
            <w:tcW w:w="1276" w:type="dxa"/>
            <w:vAlign w:val="center"/>
          </w:tcPr>
          <w:p>
            <w:pPr>
              <w:pStyle w:val="16"/>
            </w:pPr>
            <w:r>
              <w:t>数量指标</w:t>
            </w:r>
          </w:p>
        </w:tc>
        <w:tc>
          <w:tcPr>
            <w:tcW w:w="1332" w:type="dxa"/>
            <w:vAlign w:val="center"/>
          </w:tcPr>
          <w:p>
            <w:pPr>
              <w:pStyle w:val="16"/>
            </w:pPr>
            <w:r>
              <w:t>建立良种繁育基地面积</w:t>
            </w:r>
          </w:p>
        </w:tc>
        <w:tc>
          <w:tcPr>
            <w:tcW w:w="2891" w:type="dxa"/>
            <w:vAlign w:val="center"/>
          </w:tcPr>
          <w:p>
            <w:pPr>
              <w:pStyle w:val="16"/>
            </w:pPr>
            <w:r>
              <w:t>建立规范的良种示范基地面积情况</w:t>
            </w:r>
          </w:p>
        </w:tc>
        <w:tc>
          <w:tcPr>
            <w:tcW w:w="1276" w:type="dxa"/>
            <w:vAlign w:val="center"/>
          </w:tcPr>
          <w:p>
            <w:pPr>
              <w:pStyle w:val="16"/>
            </w:pPr>
            <w:r>
              <w:t>≥100亩</w:t>
            </w:r>
          </w:p>
        </w:tc>
        <w:tc>
          <w:tcPr>
            <w:tcW w:w="1843" w:type="dxa"/>
            <w:vAlign w:val="center"/>
          </w:tcPr>
          <w:p>
            <w:pPr>
              <w:pStyle w:val="16"/>
            </w:pPr>
            <w:r>
              <w:t>项目任务书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质量指标</w:t>
            </w:r>
          </w:p>
        </w:tc>
        <w:tc>
          <w:tcPr>
            <w:tcW w:w="1332" w:type="dxa"/>
            <w:vAlign w:val="center"/>
          </w:tcPr>
          <w:p>
            <w:pPr>
              <w:pStyle w:val="16"/>
            </w:pPr>
            <w:r>
              <w:t>基地建立达标率</w:t>
            </w:r>
          </w:p>
        </w:tc>
        <w:tc>
          <w:tcPr>
            <w:tcW w:w="2891" w:type="dxa"/>
            <w:vAlign w:val="center"/>
          </w:tcPr>
          <w:p>
            <w:pPr>
              <w:pStyle w:val="16"/>
            </w:pPr>
            <w:r>
              <w:t>基地建立达标情况</w:t>
            </w:r>
          </w:p>
        </w:tc>
        <w:tc>
          <w:tcPr>
            <w:tcW w:w="1276" w:type="dxa"/>
            <w:vAlign w:val="center"/>
          </w:tcPr>
          <w:p>
            <w:pPr>
              <w:pStyle w:val="16"/>
            </w:pPr>
            <w:r>
              <w:t>达标</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743" w:hRule="atLeast"/>
          <w:jc w:val="center"/>
        </w:trPr>
        <w:tc>
          <w:tcPr>
            <w:tcW w:w="1276" w:type="dxa"/>
            <w:vMerge w:val="continue"/>
            <w:vAlign w:val="center"/>
          </w:tcPr>
          <w:p/>
        </w:tc>
        <w:tc>
          <w:tcPr>
            <w:tcW w:w="1276" w:type="dxa"/>
            <w:vAlign w:val="center"/>
          </w:tcPr>
          <w:p>
            <w:pPr>
              <w:pStyle w:val="16"/>
            </w:pPr>
            <w:r>
              <w:t>时效指标</w:t>
            </w:r>
          </w:p>
        </w:tc>
        <w:tc>
          <w:tcPr>
            <w:tcW w:w="1332" w:type="dxa"/>
            <w:vAlign w:val="center"/>
          </w:tcPr>
          <w:p>
            <w:pPr>
              <w:pStyle w:val="16"/>
            </w:pPr>
            <w:r>
              <w:t>项目完成及时性</w:t>
            </w:r>
          </w:p>
        </w:tc>
        <w:tc>
          <w:tcPr>
            <w:tcW w:w="2891" w:type="dxa"/>
            <w:vAlign w:val="center"/>
          </w:tcPr>
          <w:p>
            <w:pPr>
              <w:pStyle w:val="16"/>
            </w:pPr>
            <w:r>
              <w:t>项目完成及时性情况</w:t>
            </w:r>
          </w:p>
        </w:tc>
        <w:tc>
          <w:tcPr>
            <w:tcW w:w="1276" w:type="dxa"/>
            <w:vAlign w:val="center"/>
          </w:tcPr>
          <w:p>
            <w:pPr>
              <w:pStyle w:val="16"/>
            </w:pPr>
            <w:r>
              <w:t>及时</w:t>
            </w:r>
          </w:p>
        </w:tc>
        <w:tc>
          <w:tcPr>
            <w:tcW w:w="1843" w:type="dxa"/>
            <w:vAlign w:val="center"/>
          </w:tcPr>
          <w:p>
            <w:pPr>
              <w:pStyle w:val="16"/>
            </w:pPr>
            <w:r>
              <w:t>项目任务书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694" w:hRule="atLeast"/>
          <w:jc w:val="center"/>
        </w:trPr>
        <w:tc>
          <w:tcPr>
            <w:tcW w:w="1276" w:type="dxa"/>
            <w:vMerge w:val="continue"/>
            <w:vAlign w:val="center"/>
          </w:tcPr>
          <w:p/>
        </w:tc>
        <w:tc>
          <w:tcPr>
            <w:tcW w:w="1276" w:type="dxa"/>
            <w:vAlign w:val="center"/>
          </w:tcPr>
          <w:p>
            <w:pPr>
              <w:pStyle w:val="16"/>
            </w:pPr>
            <w:r>
              <w:t>成本指标</w:t>
            </w:r>
          </w:p>
        </w:tc>
        <w:tc>
          <w:tcPr>
            <w:tcW w:w="1332" w:type="dxa"/>
            <w:vAlign w:val="center"/>
          </w:tcPr>
          <w:p>
            <w:pPr>
              <w:pStyle w:val="16"/>
            </w:pPr>
            <w:r>
              <w:t>项目总成本控制</w:t>
            </w:r>
          </w:p>
        </w:tc>
        <w:tc>
          <w:tcPr>
            <w:tcW w:w="2891" w:type="dxa"/>
            <w:vAlign w:val="center"/>
          </w:tcPr>
          <w:p>
            <w:pPr>
              <w:pStyle w:val="16"/>
            </w:pPr>
            <w:r>
              <w:t>项目总成本控制情况</w:t>
            </w:r>
          </w:p>
        </w:tc>
        <w:tc>
          <w:tcPr>
            <w:tcW w:w="1276" w:type="dxa"/>
            <w:vAlign w:val="center"/>
          </w:tcPr>
          <w:p>
            <w:pPr>
              <w:pStyle w:val="16"/>
            </w:pPr>
            <w:r>
              <w:t>项目执行过程中发生的专用材料购置费、劳务费、专家咨询费等均不高于市场价格</w:t>
            </w:r>
          </w:p>
        </w:tc>
        <w:tc>
          <w:tcPr>
            <w:tcW w:w="1843" w:type="dxa"/>
            <w:vAlign w:val="center"/>
          </w:tcPr>
          <w:p>
            <w:pPr>
              <w:pStyle w:val="16"/>
            </w:pPr>
            <w:r>
              <w:t>项目任务书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7"/>
            </w:pPr>
            <w:r>
              <w:t>效益指标</w:t>
            </w:r>
          </w:p>
        </w:tc>
        <w:tc>
          <w:tcPr>
            <w:tcW w:w="1276" w:type="dxa"/>
            <w:vAlign w:val="center"/>
          </w:tcPr>
          <w:p>
            <w:pPr>
              <w:pStyle w:val="16"/>
            </w:pPr>
            <w:r>
              <w:t>经济效益指标</w:t>
            </w:r>
          </w:p>
        </w:tc>
        <w:tc>
          <w:tcPr>
            <w:tcW w:w="1332" w:type="dxa"/>
            <w:vAlign w:val="center"/>
          </w:tcPr>
          <w:p>
            <w:pPr>
              <w:pStyle w:val="16"/>
            </w:pPr>
            <w:r>
              <w:t>亩产增收率</w:t>
            </w:r>
          </w:p>
        </w:tc>
        <w:tc>
          <w:tcPr>
            <w:tcW w:w="2891" w:type="dxa"/>
            <w:vAlign w:val="center"/>
          </w:tcPr>
          <w:p>
            <w:pPr>
              <w:pStyle w:val="16"/>
            </w:pPr>
            <w:r>
              <w:t>新品种相对本地品种亩产增收率情况</w:t>
            </w:r>
          </w:p>
        </w:tc>
        <w:tc>
          <w:tcPr>
            <w:tcW w:w="1276" w:type="dxa"/>
            <w:vAlign w:val="center"/>
          </w:tcPr>
          <w:p>
            <w:pPr>
              <w:pStyle w:val="16"/>
            </w:pPr>
            <w:r>
              <w:t>≥8百分比</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生态效益指标</w:t>
            </w:r>
          </w:p>
        </w:tc>
        <w:tc>
          <w:tcPr>
            <w:tcW w:w="1332" w:type="dxa"/>
            <w:vAlign w:val="center"/>
          </w:tcPr>
          <w:p>
            <w:pPr>
              <w:pStyle w:val="16"/>
            </w:pPr>
            <w:r>
              <w:t>节肥节水节约农药比率</w:t>
            </w:r>
          </w:p>
        </w:tc>
        <w:tc>
          <w:tcPr>
            <w:tcW w:w="2891" w:type="dxa"/>
            <w:vAlign w:val="center"/>
          </w:tcPr>
          <w:p>
            <w:pPr>
              <w:pStyle w:val="16"/>
            </w:pPr>
            <w:r>
              <w:t>相对大田夏播作物（玉米）节肥节水节农药比率情况</w:t>
            </w:r>
          </w:p>
        </w:tc>
        <w:tc>
          <w:tcPr>
            <w:tcW w:w="1276" w:type="dxa"/>
            <w:vAlign w:val="center"/>
          </w:tcPr>
          <w:p>
            <w:pPr>
              <w:pStyle w:val="16"/>
            </w:pPr>
            <w:r>
              <w:t>≥30百分比</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692" w:hRule="atLeast"/>
          <w:jc w:val="center"/>
        </w:trPr>
        <w:tc>
          <w:tcPr>
            <w:tcW w:w="1276" w:type="dxa"/>
            <w:vMerge w:val="continue"/>
            <w:vAlign w:val="center"/>
          </w:tcPr>
          <w:p/>
        </w:tc>
        <w:tc>
          <w:tcPr>
            <w:tcW w:w="1276" w:type="dxa"/>
            <w:vAlign w:val="center"/>
          </w:tcPr>
          <w:p>
            <w:pPr>
              <w:pStyle w:val="16"/>
            </w:pPr>
            <w:r>
              <w:t>可持续影响指标</w:t>
            </w:r>
          </w:p>
        </w:tc>
        <w:tc>
          <w:tcPr>
            <w:tcW w:w="1332" w:type="dxa"/>
            <w:vAlign w:val="center"/>
          </w:tcPr>
          <w:p>
            <w:pPr>
              <w:pStyle w:val="16"/>
            </w:pPr>
            <w:r>
              <w:t>形成栽培技术数量</w:t>
            </w:r>
          </w:p>
        </w:tc>
        <w:tc>
          <w:tcPr>
            <w:tcW w:w="2891" w:type="dxa"/>
            <w:vAlign w:val="center"/>
          </w:tcPr>
          <w:p>
            <w:pPr>
              <w:pStyle w:val="16"/>
            </w:pPr>
            <w:r>
              <w:t>通过试验形成适合廊坊地区生产的栽培技术数量情况</w:t>
            </w:r>
          </w:p>
        </w:tc>
        <w:tc>
          <w:tcPr>
            <w:tcW w:w="1276" w:type="dxa"/>
            <w:vAlign w:val="center"/>
          </w:tcPr>
          <w:p>
            <w:pPr>
              <w:pStyle w:val="16"/>
            </w:pPr>
            <w:r>
              <w:t>1套</w:t>
            </w:r>
          </w:p>
        </w:tc>
        <w:tc>
          <w:tcPr>
            <w:tcW w:w="1843" w:type="dxa"/>
            <w:vAlign w:val="center"/>
          </w:tcPr>
          <w:p>
            <w:pPr>
              <w:pStyle w:val="16"/>
            </w:pPr>
            <w:r>
              <w:t>项目任务书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满意度指标</w:t>
            </w:r>
          </w:p>
        </w:tc>
        <w:tc>
          <w:tcPr>
            <w:tcW w:w="1276" w:type="dxa"/>
            <w:vAlign w:val="center"/>
          </w:tcPr>
          <w:p>
            <w:pPr>
              <w:pStyle w:val="16"/>
            </w:pPr>
            <w:r>
              <w:t>服务对象满意度指标</w:t>
            </w:r>
          </w:p>
        </w:tc>
        <w:tc>
          <w:tcPr>
            <w:tcW w:w="1332" w:type="dxa"/>
            <w:vAlign w:val="center"/>
          </w:tcPr>
          <w:p>
            <w:pPr>
              <w:pStyle w:val="16"/>
            </w:pPr>
            <w:r>
              <w:t>示范推广农户满意度</w:t>
            </w:r>
          </w:p>
        </w:tc>
        <w:tc>
          <w:tcPr>
            <w:tcW w:w="2891" w:type="dxa"/>
            <w:vAlign w:val="center"/>
          </w:tcPr>
          <w:p>
            <w:pPr>
              <w:pStyle w:val="16"/>
            </w:pPr>
            <w:r>
              <w:t>新品种示范推广种植农户满意度情况</w:t>
            </w:r>
          </w:p>
        </w:tc>
        <w:tc>
          <w:tcPr>
            <w:tcW w:w="1276" w:type="dxa"/>
            <w:vAlign w:val="center"/>
          </w:tcPr>
          <w:p>
            <w:pPr>
              <w:pStyle w:val="16"/>
            </w:pPr>
            <w:r>
              <w:t>≥95百分比</w:t>
            </w:r>
          </w:p>
        </w:tc>
        <w:tc>
          <w:tcPr>
            <w:tcW w:w="1843" w:type="dxa"/>
            <w:vAlign w:val="center"/>
          </w:tcPr>
          <w:p>
            <w:pPr>
              <w:pStyle w:val="16"/>
            </w:pPr>
            <w:r>
              <w:t>计划标准</w:t>
            </w:r>
          </w:p>
        </w:tc>
      </w:tr>
    </w:tbl>
    <w:p>
      <w:pPr>
        <w:numPr>
          <w:ilvl w:val="0"/>
          <w:numId w:val="0"/>
        </w:numPr>
        <w:jc w:val="left"/>
        <w:outlineLvl w:val="1"/>
        <w:rPr>
          <w:rFonts w:ascii="Times New Roman" w:hAnsi="Times New Roman" w:eastAsia="仿宋_GB2312" w:cs="Times New Roman"/>
          <w:sz w:val="28"/>
        </w:rPr>
      </w:pPr>
    </w:p>
    <w:p>
      <w:pPr>
        <w:spacing w:line="14" w:lineRule="exact"/>
        <w:ind w:firstLine="420" w:firstLineChars="200"/>
        <w:jc w:val="center"/>
        <w:rPr>
          <w:rFonts w:ascii="Times New Roman" w:hAnsi="Times New Roman" w:eastAsia="仿宋_GB2312" w:cs="Times New Roman"/>
        </w:rPr>
      </w:pP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六、政府采购预算情况</w:t>
      </w:r>
    </w:p>
    <w:p>
      <w:pPr>
        <w:spacing w:line="584" w:lineRule="exact"/>
        <w:ind w:firstLine="640" w:firstLineChars="200"/>
        <w:outlineLvl w:val="0"/>
        <w:rPr>
          <w:rFonts w:ascii="Times New Roman" w:hAnsi="Times New Roman" w:eastAsia="仿宋_GB2312" w:cs="Times New Roman"/>
          <w:sz w:val="32"/>
          <w:szCs w:val="24"/>
        </w:rPr>
      </w:pPr>
      <w:bookmarkStart w:id="4" w:name="_Toc471398468"/>
    </w:p>
    <w:p>
      <w:pPr>
        <w:spacing w:line="584" w:lineRule="exact"/>
        <w:ind w:firstLine="640" w:firstLineChars="200"/>
        <w:outlineLvl w:val="0"/>
        <w:rPr>
          <w:rFonts w:ascii="Times New Roman" w:hAnsi="Times New Roman" w:eastAsia="仿宋_GB2312" w:cs="Times New Roman"/>
          <w:sz w:val="32"/>
          <w:szCs w:val="24"/>
        </w:rPr>
      </w:pPr>
      <w:r>
        <w:rPr>
          <w:rFonts w:ascii="Times New Roman" w:hAnsi="Times New Roman" w:eastAsia="仿宋_GB2312" w:cs="Times New Roman"/>
          <w:sz w:val="32"/>
          <w:szCs w:val="24"/>
        </w:rPr>
        <w:t>20</w:t>
      </w:r>
      <w:r>
        <w:rPr>
          <w:rFonts w:hint="eastAsia" w:ascii="Times New Roman" w:hAnsi="Times New Roman" w:eastAsia="仿宋_GB2312" w:cs="Times New Roman"/>
          <w:sz w:val="32"/>
          <w:szCs w:val="24"/>
        </w:rPr>
        <w:t>2</w:t>
      </w:r>
      <w:r>
        <w:rPr>
          <w:rFonts w:ascii="Times New Roman" w:hAnsi="Times New Roman" w:eastAsia="仿宋_GB2312" w:cs="Times New Roman"/>
          <w:sz w:val="32"/>
          <w:szCs w:val="24"/>
        </w:rPr>
        <w:t>2年，我部门安排政府采购预算</w:t>
      </w:r>
      <w:r>
        <w:rPr>
          <w:rFonts w:hint="eastAsia" w:ascii="Times New Roman" w:hAnsi="Times New Roman" w:eastAsia="仿宋_GB2312" w:cs="Times New Roman"/>
          <w:sz w:val="32"/>
          <w:szCs w:val="24"/>
          <w:lang w:val="en-US" w:eastAsia="zh-CN"/>
        </w:rPr>
        <w:t>8.24</w:t>
      </w:r>
      <w:r>
        <w:rPr>
          <w:rFonts w:ascii="Times New Roman" w:hAnsi="Times New Roman" w:eastAsia="仿宋_GB2312" w:cs="Times New Roman"/>
          <w:sz w:val="32"/>
          <w:szCs w:val="24"/>
        </w:rPr>
        <w:t>万元。具体内容见下表。</w:t>
      </w:r>
    </w:p>
    <w:bookmarkEnd w:id="4"/>
    <w:p>
      <w:pPr>
        <w:spacing w:before="0" w:after="0" w:line="240" w:lineRule="auto"/>
        <w:ind w:firstLine="0"/>
        <w:jc w:val="center"/>
        <w:outlineLvl w:val="1"/>
      </w:pPr>
      <w:bookmarkStart w:id="5" w:name="_Toc_2_2_0000000007"/>
      <w:r>
        <w:rPr>
          <w:rFonts w:ascii="方正小标宋_GBK" w:hAnsi="方正小标宋_GBK" w:eastAsia="方正小标宋_GBK" w:cs="方正小标宋_GBK"/>
          <w:color w:val="000000"/>
          <w:sz w:val="32"/>
        </w:rPr>
        <w:t>部门政府采购预算</w:t>
      </w:r>
      <w:bookmarkEnd w:id="5"/>
    </w:p>
    <w:tbl>
      <w:tblPr>
        <w:tblStyle w:val="10"/>
        <w:tblW w:w="927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681"/>
        <w:gridCol w:w="573"/>
        <w:gridCol w:w="573"/>
        <w:gridCol w:w="573"/>
        <w:gridCol w:w="573"/>
        <w:gridCol w:w="573"/>
        <w:gridCol w:w="573"/>
        <w:gridCol w:w="573"/>
        <w:gridCol w:w="573"/>
        <w:gridCol w:w="573"/>
        <w:gridCol w:w="573"/>
        <w:gridCol w:w="573"/>
        <w:gridCol w:w="573"/>
        <w:gridCol w:w="573"/>
        <w:gridCol w:w="573"/>
        <w:gridCol w:w="57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74" w:hRule="atLeast"/>
          <w:tblHeader/>
          <w:jc w:val="center"/>
        </w:trPr>
        <w:tc>
          <w:tcPr>
            <w:tcW w:w="4119" w:type="dxa"/>
            <w:gridSpan w:val="7"/>
            <w:tcBorders>
              <w:top w:val="single" w:color="FFFFFF" w:sz="6" w:space="0"/>
              <w:left w:val="single" w:color="FFFFFF" w:sz="6" w:space="0"/>
              <w:right w:val="single" w:color="FFFFFF" w:sz="6" w:space="0"/>
            </w:tcBorders>
            <w:vAlign w:val="center"/>
          </w:tcPr>
          <w:p>
            <w:pPr>
              <w:pStyle w:val="24"/>
            </w:pPr>
            <w:r>
              <w:t>485廊坊市农林科学院</w:t>
            </w:r>
          </w:p>
        </w:tc>
        <w:tc>
          <w:tcPr>
            <w:tcW w:w="5157" w:type="dxa"/>
            <w:gridSpan w:val="9"/>
            <w:tcBorders>
              <w:top w:val="single" w:color="FFFFFF" w:sz="6" w:space="0"/>
              <w:left w:val="single" w:color="FFFFFF" w:sz="6" w:space="0"/>
              <w:right w:val="single" w:color="FFFFFF" w:sz="6" w:space="0"/>
            </w:tcBorders>
            <w:vAlign w:val="center"/>
          </w:tcPr>
          <w:p>
            <w:pPr>
              <w:pStyle w:val="25"/>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1254" w:type="dxa"/>
            <w:gridSpan w:val="2"/>
            <w:vAlign w:val="center"/>
          </w:tcPr>
          <w:p>
            <w:pPr>
              <w:pStyle w:val="14"/>
            </w:pPr>
            <w:r>
              <w:t>政府采购项目来源</w:t>
            </w:r>
          </w:p>
        </w:tc>
        <w:tc>
          <w:tcPr>
            <w:tcW w:w="573" w:type="dxa"/>
            <w:vMerge w:val="restart"/>
            <w:vAlign w:val="center"/>
          </w:tcPr>
          <w:p>
            <w:pPr>
              <w:pStyle w:val="14"/>
            </w:pPr>
            <w:r>
              <w:t>采购物品名称</w:t>
            </w:r>
          </w:p>
        </w:tc>
        <w:tc>
          <w:tcPr>
            <w:tcW w:w="573" w:type="dxa"/>
            <w:vMerge w:val="restart"/>
            <w:vAlign w:val="center"/>
          </w:tcPr>
          <w:p>
            <w:pPr>
              <w:pStyle w:val="14"/>
            </w:pPr>
            <w:r>
              <w:t>政府采购目录序号</w:t>
            </w:r>
          </w:p>
        </w:tc>
        <w:tc>
          <w:tcPr>
            <w:tcW w:w="573" w:type="dxa"/>
            <w:vMerge w:val="restart"/>
            <w:vAlign w:val="center"/>
          </w:tcPr>
          <w:p>
            <w:pPr>
              <w:pStyle w:val="14"/>
            </w:pPr>
            <w:r>
              <w:t>计量  单位</w:t>
            </w:r>
          </w:p>
        </w:tc>
        <w:tc>
          <w:tcPr>
            <w:tcW w:w="573" w:type="dxa"/>
            <w:vMerge w:val="restart"/>
            <w:vAlign w:val="center"/>
          </w:tcPr>
          <w:p>
            <w:pPr>
              <w:pStyle w:val="14"/>
            </w:pPr>
            <w:r>
              <w:t>数量</w:t>
            </w:r>
          </w:p>
        </w:tc>
        <w:tc>
          <w:tcPr>
            <w:tcW w:w="573" w:type="dxa"/>
            <w:vMerge w:val="restart"/>
            <w:vAlign w:val="center"/>
          </w:tcPr>
          <w:p>
            <w:pPr>
              <w:pStyle w:val="14"/>
            </w:pPr>
            <w:r>
              <w:t>单价</w:t>
            </w:r>
          </w:p>
        </w:tc>
        <w:tc>
          <w:tcPr>
            <w:tcW w:w="4584" w:type="dxa"/>
            <w:gridSpan w:val="8"/>
            <w:vAlign w:val="center"/>
          </w:tcPr>
          <w:p>
            <w:pPr>
              <w:pStyle w:val="14"/>
            </w:pPr>
            <w:r>
              <w:t>政府采购金额（当年部门预算安排资金）</w:t>
            </w:r>
          </w:p>
        </w:tc>
        <w:tc>
          <w:tcPr>
            <w:tcW w:w="573" w:type="dxa"/>
            <w:vMerge w:val="restart"/>
            <w:vAlign w:val="center"/>
          </w:tcPr>
          <w:p>
            <w:pPr>
              <w:pStyle w:val="14"/>
            </w:pPr>
            <w:r>
              <w:t>2022年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792" w:hRule="atLeast"/>
          <w:tblHeader/>
          <w:jc w:val="center"/>
        </w:trPr>
        <w:tc>
          <w:tcPr>
            <w:tcW w:w="681" w:type="dxa"/>
            <w:vAlign w:val="center"/>
          </w:tcPr>
          <w:p>
            <w:pPr>
              <w:pStyle w:val="14"/>
            </w:pPr>
            <w:r>
              <w:t>项目名称</w:t>
            </w:r>
          </w:p>
        </w:tc>
        <w:tc>
          <w:tcPr>
            <w:tcW w:w="573" w:type="dxa"/>
            <w:vAlign w:val="center"/>
          </w:tcPr>
          <w:p>
            <w:pPr>
              <w:pStyle w:val="14"/>
            </w:pPr>
            <w:r>
              <w:t>预算    资金</w:t>
            </w:r>
          </w:p>
        </w:tc>
        <w:tc>
          <w:tcPr>
            <w:tcW w:w="573" w:type="dxa"/>
            <w:vMerge w:val="continue"/>
          </w:tcPr>
          <w:p/>
        </w:tc>
        <w:tc>
          <w:tcPr>
            <w:tcW w:w="573" w:type="dxa"/>
            <w:vMerge w:val="continue"/>
          </w:tcPr>
          <w:p/>
        </w:tc>
        <w:tc>
          <w:tcPr>
            <w:tcW w:w="573" w:type="dxa"/>
            <w:vMerge w:val="continue"/>
          </w:tcPr>
          <w:p/>
        </w:tc>
        <w:tc>
          <w:tcPr>
            <w:tcW w:w="573" w:type="dxa"/>
            <w:vMerge w:val="continue"/>
          </w:tcPr>
          <w:p/>
        </w:tc>
        <w:tc>
          <w:tcPr>
            <w:tcW w:w="573" w:type="dxa"/>
            <w:vMerge w:val="continue"/>
          </w:tcPr>
          <w:p/>
        </w:tc>
        <w:tc>
          <w:tcPr>
            <w:tcW w:w="573" w:type="dxa"/>
            <w:vAlign w:val="center"/>
          </w:tcPr>
          <w:p>
            <w:pPr>
              <w:pStyle w:val="14"/>
            </w:pPr>
            <w:r>
              <w:t>合计</w:t>
            </w:r>
          </w:p>
        </w:tc>
        <w:tc>
          <w:tcPr>
            <w:tcW w:w="573" w:type="dxa"/>
            <w:vAlign w:val="center"/>
          </w:tcPr>
          <w:p>
            <w:pPr>
              <w:pStyle w:val="14"/>
            </w:pPr>
            <w:r>
              <w:t>一般公共预算拨款</w:t>
            </w:r>
          </w:p>
        </w:tc>
        <w:tc>
          <w:tcPr>
            <w:tcW w:w="573" w:type="dxa"/>
            <w:vAlign w:val="center"/>
          </w:tcPr>
          <w:p>
            <w:pPr>
              <w:pStyle w:val="14"/>
            </w:pPr>
            <w:r>
              <w:t>基金预算拨款</w:t>
            </w:r>
          </w:p>
        </w:tc>
        <w:tc>
          <w:tcPr>
            <w:tcW w:w="573" w:type="dxa"/>
            <w:vAlign w:val="center"/>
          </w:tcPr>
          <w:p>
            <w:pPr>
              <w:pStyle w:val="14"/>
            </w:pPr>
            <w:r>
              <w:t>国有资本经营预算拨款</w:t>
            </w:r>
          </w:p>
        </w:tc>
        <w:tc>
          <w:tcPr>
            <w:tcW w:w="573" w:type="dxa"/>
            <w:vAlign w:val="center"/>
          </w:tcPr>
          <w:p>
            <w:pPr>
              <w:pStyle w:val="14"/>
            </w:pPr>
            <w:r>
              <w:t>财政专户核拨</w:t>
            </w:r>
          </w:p>
        </w:tc>
        <w:tc>
          <w:tcPr>
            <w:tcW w:w="573" w:type="dxa"/>
            <w:vAlign w:val="center"/>
          </w:tcPr>
          <w:p>
            <w:pPr>
              <w:pStyle w:val="14"/>
            </w:pPr>
            <w:r>
              <w:t>单位    资金</w:t>
            </w:r>
          </w:p>
        </w:tc>
        <w:tc>
          <w:tcPr>
            <w:tcW w:w="573" w:type="dxa"/>
            <w:vAlign w:val="center"/>
          </w:tcPr>
          <w:p>
            <w:pPr>
              <w:pStyle w:val="14"/>
            </w:pPr>
            <w:r>
              <w:t>财政拨    款结转</w:t>
            </w:r>
          </w:p>
        </w:tc>
        <w:tc>
          <w:tcPr>
            <w:tcW w:w="573" w:type="dxa"/>
            <w:vAlign w:val="center"/>
          </w:tcPr>
          <w:p>
            <w:pPr>
              <w:pStyle w:val="14"/>
            </w:pPr>
            <w:r>
              <w:t>非财政    拨款结    转结余</w:t>
            </w:r>
          </w:p>
        </w:tc>
        <w:tc>
          <w:tcPr>
            <w:tcW w:w="573"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538" w:hRule="atLeast"/>
          <w:jc w:val="center"/>
        </w:trPr>
        <w:tc>
          <w:tcPr>
            <w:tcW w:w="681" w:type="dxa"/>
            <w:vAlign w:val="center"/>
          </w:tcPr>
          <w:p>
            <w:pPr>
              <w:pStyle w:val="18"/>
            </w:pPr>
            <w:r>
              <w:t>合  计</w:t>
            </w:r>
          </w:p>
        </w:tc>
        <w:tc>
          <w:tcPr>
            <w:tcW w:w="573" w:type="dxa"/>
            <w:vAlign w:val="center"/>
          </w:tcPr>
          <w:p>
            <w:pPr>
              <w:pStyle w:val="19"/>
            </w:pPr>
          </w:p>
        </w:tc>
        <w:tc>
          <w:tcPr>
            <w:tcW w:w="573" w:type="dxa"/>
            <w:vAlign w:val="center"/>
          </w:tcPr>
          <w:p>
            <w:pPr>
              <w:pStyle w:val="20"/>
            </w:pPr>
          </w:p>
        </w:tc>
        <w:tc>
          <w:tcPr>
            <w:tcW w:w="573" w:type="dxa"/>
            <w:vAlign w:val="center"/>
          </w:tcPr>
          <w:p>
            <w:pPr>
              <w:pStyle w:val="20"/>
            </w:pPr>
          </w:p>
        </w:tc>
        <w:tc>
          <w:tcPr>
            <w:tcW w:w="573" w:type="dxa"/>
            <w:vAlign w:val="center"/>
          </w:tcPr>
          <w:p>
            <w:pPr>
              <w:pStyle w:val="18"/>
            </w:pPr>
          </w:p>
        </w:tc>
        <w:tc>
          <w:tcPr>
            <w:tcW w:w="573" w:type="dxa"/>
            <w:vAlign w:val="center"/>
          </w:tcPr>
          <w:p>
            <w:pPr>
              <w:pStyle w:val="19"/>
            </w:pPr>
          </w:p>
        </w:tc>
        <w:tc>
          <w:tcPr>
            <w:tcW w:w="573" w:type="dxa"/>
            <w:vAlign w:val="center"/>
          </w:tcPr>
          <w:p>
            <w:pPr>
              <w:pStyle w:val="19"/>
            </w:pPr>
          </w:p>
        </w:tc>
        <w:tc>
          <w:tcPr>
            <w:tcW w:w="573" w:type="dxa"/>
            <w:vAlign w:val="center"/>
          </w:tcPr>
          <w:p>
            <w:pPr>
              <w:pStyle w:val="19"/>
              <w:rPr>
                <w:rFonts w:hint="default" w:eastAsia="方正书宋_GBK"/>
                <w:lang w:val="en-US" w:eastAsia="zh-CN"/>
              </w:rPr>
            </w:pPr>
            <w:r>
              <w:rPr>
                <w:rFonts w:hint="eastAsia"/>
                <w:lang w:val="en-US" w:eastAsia="zh-CN"/>
              </w:rPr>
              <w:t>8.24</w:t>
            </w:r>
          </w:p>
        </w:tc>
        <w:tc>
          <w:tcPr>
            <w:tcW w:w="573" w:type="dxa"/>
            <w:vAlign w:val="center"/>
          </w:tcPr>
          <w:p>
            <w:pPr>
              <w:pStyle w:val="19"/>
              <w:rPr>
                <w:rFonts w:hint="default" w:eastAsia="方正书宋_GBK"/>
                <w:lang w:val="en-US" w:eastAsia="zh-CN"/>
              </w:rPr>
            </w:pPr>
            <w:r>
              <w:rPr>
                <w:rFonts w:hint="eastAsia"/>
                <w:lang w:val="en-US" w:eastAsia="zh-CN"/>
              </w:rPr>
              <w:t>8.24</w:t>
            </w:r>
          </w:p>
        </w:tc>
        <w:tc>
          <w:tcPr>
            <w:tcW w:w="573" w:type="dxa"/>
            <w:vAlign w:val="center"/>
          </w:tcPr>
          <w:p>
            <w:pPr>
              <w:pStyle w:val="19"/>
            </w:pPr>
          </w:p>
        </w:tc>
        <w:tc>
          <w:tcPr>
            <w:tcW w:w="573" w:type="dxa"/>
            <w:vAlign w:val="center"/>
          </w:tcPr>
          <w:p>
            <w:pPr>
              <w:pStyle w:val="19"/>
            </w:pPr>
          </w:p>
        </w:tc>
        <w:tc>
          <w:tcPr>
            <w:tcW w:w="573" w:type="dxa"/>
            <w:vAlign w:val="center"/>
          </w:tcPr>
          <w:p>
            <w:pPr>
              <w:pStyle w:val="19"/>
            </w:pPr>
          </w:p>
        </w:tc>
        <w:tc>
          <w:tcPr>
            <w:tcW w:w="573" w:type="dxa"/>
            <w:vAlign w:val="center"/>
          </w:tcPr>
          <w:p>
            <w:pPr>
              <w:pStyle w:val="19"/>
            </w:pPr>
          </w:p>
        </w:tc>
        <w:tc>
          <w:tcPr>
            <w:tcW w:w="573" w:type="dxa"/>
            <w:vAlign w:val="center"/>
          </w:tcPr>
          <w:p>
            <w:pPr>
              <w:pStyle w:val="19"/>
            </w:pPr>
          </w:p>
        </w:tc>
        <w:tc>
          <w:tcPr>
            <w:tcW w:w="573" w:type="dxa"/>
            <w:vAlign w:val="center"/>
          </w:tcPr>
          <w:p>
            <w:pPr>
              <w:pStyle w:val="19"/>
            </w:pPr>
          </w:p>
        </w:tc>
        <w:tc>
          <w:tcPr>
            <w:tcW w:w="573" w:type="dxa"/>
            <w:vAlign w:val="center"/>
          </w:tcPr>
          <w:p>
            <w:pPr>
              <w:pStyle w:val="19"/>
              <w:rPr>
                <w:rFonts w:hint="default" w:eastAsia="方正书宋_GBK"/>
                <w:lang w:val="en-US" w:eastAsia="zh-CN"/>
              </w:rPr>
            </w:pPr>
            <w:r>
              <w:rPr>
                <w:rFonts w:hint="eastAsia"/>
                <w:lang w:val="en-US" w:eastAsia="zh-CN"/>
              </w:rPr>
              <w:t>8.24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681" w:type="dxa"/>
            <w:vAlign w:val="center"/>
          </w:tcPr>
          <w:p>
            <w:pPr>
              <w:pStyle w:val="18"/>
            </w:pPr>
            <w:r>
              <w:t>廊坊市农林科学院本级小计</w:t>
            </w:r>
          </w:p>
        </w:tc>
        <w:tc>
          <w:tcPr>
            <w:tcW w:w="573" w:type="dxa"/>
            <w:vAlign w:val="center"/>
          </w:tcPr>
          <w:p>
            <w:pPr>
              <w:pStyle w:val="19"/>
            </w:pPr>
          </w:p>
        </w:tc>
        <w:tc>
          <w:tcPr>
            <w:tcW w:w="573" w:type="dxa"/>
            <w:vAlign w:val="center"/>
          </w:tcPr>
          <w:p>
            <w:pPr>
              <w:pStyle w:val="20"/>
            </w:pPr>
          </w:p>
        </w:tc>
        <w:tc>
          <w:tcPr>
            <w:tcW w:w="573" w:type="dxa"/>
            <w:vAlign w:val="center"/>
          </w:tcPr>
          <w:p>
            <w:pPr>
              <w:pStyle w:val="20"/>
            </w:pPr>
          </w:p>
        </w:tc>
        <w:tc>
          <w:tcPr>
            <w:tcW w:w="573" w:type="dxa"/>
            <w:vAlign w:val="center"/>
          </w:tcPr>
          <w:p>
            <w:pPr>
              <w:pStyle w:val="18"/>
            </w:pPr>
          </w:p>
        </w:tc>
        <w:tc>
          <w:tcPr>
            <w:tcW w:w="573" w:type="dxa"/>
            <w:vAlign w:val="center"/>
          </w:tcPr>
          <w:p>
            <w:pPr>
              <w:pStyle w:val="19"/>
            </w:pPr>
          </w:p>
        </w:tc>
        <w:tc>
          <w:tcPr>
            <w:tcW w:w="573" w:type="dxa"/>
            <w:vAlign w:val="center"/>
          </w:tcPr>
          <w:p>
            <w:pPr>
              <w:pStyle w:val="19"/>
            </w:pPr>
          </w:p>
        </w:tc>
        <w:tc>
          <w:tcPr>
            <w:tcW w:w="573" w:type="dxa"/>
            <w:vAlign w:val="center"/>
          </w:tcPr>
          <w:p>
            <w:pPr>
              <w:pStyle w:val="19"/>
              <w:rPr>
                <w:rFonts w:hint="default" w:eastAsia="方正书宋_GBK"/>
                <w:lang w:val="en-US" w:eastAsia="zh-CN"/>
              </w:rPr>
            </w:pPr>
            <w:r>
              <w:rPr>
                <w:rFonts w:hint="eastAsia"/>
                <w:lang w:val="en-US" w:eastAsia="zh-CN"/>
              </w:rPr>
              <w:t>8.24</w:t>
            </w:r>
          </w:p>
        </w:tc>
        <w:tc>
          <w:tcPr>
            <w:tcW w:w="573" w:type="dxa"/>
            <w:vAlign w:val="center"/>
          </w:tcPr>
          <w:p>
            <w:pPr>
              <w:pStyle w:val="19"/>
              <w:rPr>
                <w:rFonts w:hint="default" w:eastAsia="方正书宋_GBK"/>
                <w:lang w:val="en-US" w:eastAsia="zh-CN"/>
              </w:rPr>
            </w:pPr>
            <w:r>
              <w:rPr>
                <w:rFonts w:hint="eastAsia"/>
                <w:lang w:val="en-US" w:eastAsia="zh-CN"/>
              </w:rPr>
              <w:t>8.24</w:t>
            </w:r>
          </w:p>
        </w:tc>
        <w:tc>
          <w:tcPr>
            <w:tcW w:w="573" w:type="dxa"/>
            <w:vAlign w:val="center"/>
          </w:tcPr>
          <w:p>
            <w:pPr>
              <w:pStyle w:val="19"/>
            </w:pPr>
          </w:p>
        </w:tc>
        <w:tc>
          <w:tcPr>
            <w:tcW w:w="573" w:type="dxa"/>
            <w:vAlign w:val="center"/>
          </w:tcPr>
          <w:p>
            <w:pPr>
              <w:pStyle w:val="19"/>
            </w:pPr>
          </w:p>
        </w:tc>
        <w:tc>
          <w:tcPr>
            <w:tcW w:w="573" w:type="dxa"/>
            <w:vAlign w:val="center"/>
          </w:tcPr>
          <w:p>
            <w:pPr>
              <w:pStyle w:val="19"/>
            </w:pPr>
          </w:p>
        </w:tc>
        <w:tc>
          <w:tcPr>
            <w:tcW w:w="573" w:type="dxa"/>
            <w:vAlign w:val="center"/>
          </w:tcPr>
          <w:p>
            <w:pPr>
              <w:pStyle w:val="19"/>
            </w:pPr>
          </w:p>
        </w:tc>
        <w:tc>
          <w:tcPr>
            <w:tcW w:w="573" w:type="dxa"/>
            <w:vAlign w:val="center"/>
          </w:tcPr>
          <w:p>
            <w:pPr>
              <w:pStyle w:val="19"/>
            </w:pPr>
          </w:p>
        </w:tc>
        <w:tc>
          <w:tcPr>
            <w:tcW w:w="573" w:type="dxa"/>
            <w:vAlign w:val="center"/>
          </w:tcPr>
          <w:p>
            <w:pPr>
              <w:pStyle w:val="19"/>
            </w:pPr>
          </w:p>
        </w:tc>
        <w:tc>
          <w:tcPr>
            <w:tcW w:w="573" w:type="dxa"/>
            <w:vAlign w:val="center"/>
          </w:tcPr>
          <w:p>
            <w:pPr>
              <w:pStyle w:val="19"/>
              <w:rPr>
                <w:rFonts w:hint="default" w:eastAsia="方正书宋_GBK"/>
                <w:lang w:val="en-US" w:eastAsia="zh-CN"/>
              </w:rPr>
            </w:pPr>
            <w:r>
              <w:rPr>
                <w:rFonts w:hint="eastAsia"/>
                <w:lang w:val="en-US" w:eastAsia="zh-CN"/>
              </w:rPr>
              <w:t>8.24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681" w:type="dxa"/>
            <w:vAlign w:val="center"/>
          </w:tcPr>
          <w:p>
            <w:pPr>
              <w:pStyle w:val="16"/>
            </w:pPr>
            <w:r>
              <w:t>2022年运转类公用项目（年初预算）</w:t>
            </w:r>
          </w:p>
        </w:tc>
        <w:tc>
          <w:tcPr>
            <w:tcW w:w="573" w:type="dxa"/>
            <w:vAlign w:val="center"/>
          </w:tcPr>
          <w:p>
            <w:pPr>
              <w:pStyle w:val="15"/>
            </w:pPr>
            <w:r>
              <w:t>159.91</w:t>
            </w:r>
          </w:p>
        </w:tc>
        <w:tc>
          <w:tcPr>
            <w:tcW w:w="573" w:type="dxa"/>
            <w:vAlign w:val="center"/>
          </w:tcPr>
          <w:p>
            <w:pPr>
              <w:pStyle w:val="16"/>
            </w:pPr>
            <w:r>
              <w:t>复印纸</w:t>
            </w:r>
          </w:p>
        </w:tc>
        <w:tc>
          <w:tcPr>
            <w:tcW w:w="573" w:type="dxa"/>
            <w:vAlign w:val="center"/>
          </w:tcPr>
          <w:p>
            <w:pPr>
              <w:pStyle w:val="16"/>
            </w:pPr>
            <w:r>
              <w:t>A090101</w:t>
            </w:r>
          </w:p>
        </w:tc>
        <w:tc>
          <w:tcPr>
            <w:tcW w:w="573" w:type="dxa"/>
            <w:vAlign w:val="center"/>
          </w:tcPr>
          <w:p>
            <w:pPr>
              <w:pStyle w:val="17"/>
            </w:pPr>
            <w:r>
              <w:t>箱</w:t>
            </w:r>
          </w:p>
        </w:tc>
        <w:tc>
          <w:tcPr>
            <w:tcW w:w="573" w:type="dxa"/>
            <w:vAlign w:val="center"/>
          </w:tcPr>
          <w:p>
            <w:pPr>
              <w:pStyle w:val="15"/>
            </w:pPr>
            <w:r>
              <w:t>90</w:t>
            </w:r>
          </w:p>
        </w:tc>
        <w:tc>
          <w:tcPr>
            <w:tcW w:w="573" w:type="dxa"/>
            <w:vAlign w:val="center"/>
          </w:tcPr>
          <w:p>
            <w:pPr>
              <w:pStyle w:val="15"/>
            </w:pPr>
            <w:r>
              <w:t>0.03</w:t>
            </w:r>
          </w:p>
        </w:tc>
        <w:tc>
          <w:tcPr>
            <w:tcW w:w="573" w:type="dxa"/>
            <w:vAlign w:val="center"/>
          </w:tcPr>
          <w:p>
            <w:pPr>
              <w:pStyle w:val="15"/>
            </w:pPr>
            <w:r>
              <w:t>2.25</w:t>
            </w:r>
          </w:p>
        </w:tc>
        <w:tc>
          <w:tcPr>
            <w:tcW w:w="573" w:type="dxa"/>
            <w:vAlign w:val="center"/>
          </w:tcPr>
          <w:p>
            <w:pPr>
              <w:pStyle w:val="15"/>
            </w:pPr>
            <w:r>
              <w:t>2.25</w:t>
            </w: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r>
              <w:t>2.25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681" w:type="dxa"/>
            <w:vAlign w:val="center"/>
          </w:tcPr>
          <w:p>
            <w:pPr>
              <w:pStyle w:val="16"/>
            </w:pPr>
            <w:r>
              <w:t>2022年运转类公用项目（年初预算）</w:t>
            </w:r>
          </w:p>
        </w:tc>
        <w:tc>
          <w:tcPr>
            <w:tcW w:w="573" w:type="dxa"/>
            <w:vAlign w:val="center"/>
          </w:tcPr>
          <w:p>
            <w:pPr>
              <w:pStyle w:val="15"/>
            </w:pPr>
            <w:r>
              <w:t>159.91</w:t>
            </w:r>
          </w:p>
        </w:tc>
        <w:tc>
          <w:tcPr>
            <w:tcW w:w="573" w:type="dxa"/>
            <w:vAlign w:val="center"/>
          </w:tcPr>
          <w:p>
            <w:pPr>
              <w:pStyle w:val="16"/>
            </w:pPr>
            <w:r>
              <w:t>鼓粉盒</w:t>
            </w:r>
          </w:p>
        </w:tc>
        <w:tc>
          <w:tcPr>
            <w:tcW w:w="573" w:type="dxa"/>
            <w:vAlign w:val="center"/>
          </w:tcPr>
          <w:p>
            <w:pPr>
              <w:pStyle w:val="16"/>
            </w:pPr>
            <w:r>
              <w:t>A090201</w:t>
            </w:r>
          </w:p>
        </w:tc>
        <w:tc>
          <w:tcPr>
            <w:tcW w:w="573" w:type="dxa"/>
            <w:vAlign w:val="center"/>
          </w:tcPr>
          <w:p>
            <w:pPr>
              <w:pStyle w:val="17"/>
            </w:pPr>
            <w:r>
              <w:t>只</w:t>
            </w:r>
          </w:p>
        </w:tc>
        <w:tc>
          <w:tcPr>
            <w:tcW w:w="573" w:type="dxa"/>
            <w:vAlign w:val="center"/>
          </w:tcPr>
          <w:p>
            <w:pPr>
              <w:pStyle w:val="15"/>
            </w:pPr>
            <w:r>
              <w:t>44</w:t>
            </w:r>
          </w:p>
        </w:tc>
        <w:tc>
          <w:tcPr>
            <w:tcW w:w="573" w:type="dxa"/>
            <w:vAlign w:val="center"/>
          </w:tcPr>
          <w:p>
            <w:pPr>
              <w:pStyle w:val="15"/>
            </w:pPr>
            <w:r>
              <w:t>0.05</w:t>
            </w:r>
          </w:p>
        </w:tc>
        <w:tc>
          <w:tcPr>
            <w:tcW w:w="573" w:type="dxa"/>
            <w:vAlign w:val="center"/>
          </w:tcPr>
          <w:p>
            <w:pPr>
              <w:pStyle w:val="15"/>
            </w:pPr>
            <w:r>
              <w:t>2.20</w:t>
            </w:r>
          </w:p>
        </w:tc>
        <w:tc>
          <w:tcPr>
            <w:tcW w:w="573" w:type="dxa"/>
            <w:vAlign w:val="center"/>
          </w:tcPr>
          <w:p>
            <w:pPr>
              <w:pStyle w:val="15"/>
            </w:pPr>
            <w:r>
              <w:t>2.20</w:t>
            </w: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r>
              <w:t>2.20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681" w:type="dxa"/>
            <w:vAlign w:val="center"/>
          </w:tcPr>
          <w:p>
            <w:pPr>
              <w:pStyle w:val="16"/>
            </w:pPr>
            <w:r>
              <w:t>2022年运转类公用项目（年初预算）</w:t>
            </w:r>
          </w:p>
        </w:tc>
        <w:tc>
          <w:tcPr>
            <w:tcW w:w="573" w:type="dxa"/>
            <w:vAlign w:val="center"/>
          </w:tcPr>
          <w:p>
            <w:pPr>
              <w:pStyle w:val="15"/>
            </w:pPr>
            <w:r>
              <w:t>159.91</w:t>
            </w:r>
          </w:p>
        </w:tc>
        <w:tc>
          <w:tcPr>
            <w:tcW w:w="573" w:type="dxa"/>
            <w:vAlign w:val="center"/>
          </w:tcPr>
          <w:p>
            <w:pPr>
              <w:pStyle w:val="16"/>
            </w:pPr>
            <w:r>
              <w:t>鼓粉盒</w:t>
            </w:r>
          </w:p>
        </w:tc>
        <w:tc>
          <w:tcPr>
            <w:tcW w:w="573" w:type="dxa"/>
            <w:vAlign w:val="center"/>
          </w:tcPr>
          <w:p>
            <w:pPr>
              <w:pStyle w:val="16"/>
            </w:pPr>
            <w:r>
              <w:t>A090201</w:t>
            </w:r>
          </w:p>
        </w:tc>
        <w:tc>
          <w:tcPr>
            <w:tcW w:w="573" w:type="dxa"/>
            <w:vAlign w:val="center"/>
          </w:tcPr>
          <w:p>
            <w:pPr>
              <w:pStyle w:val="17"/>
            </w:pPr>
            <w:r>
              <w:t>只</w:t>
            </w:r>
          </w:p>
        </w:tc>
        <w:tc>
          <w:tcPr>
            <w:tcW w:w="573" w:type="dxa"/>
            <w:vAlign w:val="center"/>
          </w:tcPr>
          <w:p>
            <w:pPr>
              <w:pStyle w:val="15"/>
            </w:pPr>
            <w:r>
              <w:t>2</w:t>
            </w:r>
          </w:p>
        </w:tc>
        <w:tc>
          <w:tcPr>
            <w:tcW w:w="573" w:type="dxa"/>
            <w:vAlign w:val="center"/>
          </w:tcPr>
          <w:p>
            <w:pPr>
              <w:pStyle w:val="15"/>
            </w:pPr>
            <w:r>
              <w:t>0.17</w:t>
            </w:r>
          </w:p>
        </w:tc>
        <w:tc>
          <w:tcPr>
            <w:tcW w:w="573" w:type="dxa"/>
            <w:vAlign w:val="center"/>
          </w:tcPr>
          <w:p>
            <w:pPr>
              <w:pStyle w:val="15"/>
            </w:pPr>
            <w:r>
              <w:t>0.34</w:t>
            </w:r>
          </w:p>
        </w:tc>
        <w:tc>
          <w:tcPr>
            <w:tcW w:w="573" w:type="dxa"/>
            <w:vAlign w:val="center"/>
          </w:tcPr>
          <w:p>
            <w:pPr>
              <w:pStyle w:val="15"/>
            </w:pPr>
            <w:r>
              <w:t>0.34</w:t>
            </w: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r>
              <w:t>0.34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681" w:type="dxa"/>
            <w:vAlign w:val="center"/>
          </w:tcPr>
          <w:p>
            <w:pPr>
              <w:pStyle w:val="16"/>
            </w:pPr>
            <w:r>
              <w:t>2022年运转类公用项目（年初预算）</w:t>
            </w:r>
          </w:p>
        </w:tc>
        <w:tc>
          <w:tcPr>
            <w:tcW w:w="573" w:type="dxa"/>
            <w:vAlign w:val="center"/>
          </w:tcPr>
          <w:p>
            <w:pPr>
              <w:pStyle w:val="15"/>
            </w:pPr>
            <w:r>
              <w:t>159.91</w:t>
            </w:r>
          </w:p>
        </w:tc>
        <w:tc>
          <w:tcPr>
            <w:tcW w:w="573" w:type="dxa"/>
            <w:vAlign w:val="center"/>
          </w:tcPr>
          <w:p>
            <w:pPr>
              <w:pStyle w:val="16"/>
            </w:pPr>
            <w:r>
              <w:t>鼓粉盒</w:t>
            </w:r>
          </w:p>
        </w:tc>
        <w:tc>
          <w:tcPr>
            <w:tcW w:w="573" w:type="dxa"/>
            <w:vAlign w:val="center"/>
          </w:tcPr>
          <w:p>
            <w:pPr>
              <w:pStyle w:val="16"/>
            </w:pPr>
            <w:r>
              <w:t>A090201</w:t>
            </w:r>
          </w:p>
        </w:tc>
        <w:tc>
          <w:tcPr>
            <w:tcW w:w="573" w:type="dxa"/>
            <w:vAlign w:val="center"/>
          </w:tcPr>
          <w:p>
            <w:pPr>
              <w:pStyle w:val="17"/>
            </w:pPr>
            <w:r>
              <w:t>只</w:t>
            </w:r>
          </w:p>
        </w:tc>
        <w:tc>
          <w:tcPr>
            <w:tcW w:w="573" w:type="dxa"/>
            <w:vAlign w:val="center"/>
          </w:tcPr>
          <w:p>
            <w:pPr>
              <w:pStyle w:val="15"/>
            </w:pPr>
            <w:r>
              <w:t>30</w:t>
            </w:r>
          </w:p>
        </w:tc>
        <w:tc>
          <w:tcPr>
            <w:tcW w:w="573" w:type="dxa"/>
            <w:vAlign w:val="center"/>
          </w:tcPr>
          <w:p>
            <w:pPr>
              <w:pStyle w:val="15"/>
            </w:pPr>
            <w:r>
              <w:t>0.02</w:t>
            </w:r>
          </w:p>
        </w:tc>
        <w:tc>
          <w:tcPr>
            <w:tcW w:w="573" w:type="dxa"/>
            <w:vAlign w:val="center"/>
          </w:tcPr>
          <w:p>
            <w:pPr>
              <w:pStyle w:val="15"/>
            </w:pPr>
            <w:r>
              <w:t>0.60</w:t>
            </w:r>
          </w:p>
        </w:tc>
        <w:tc>
          <w:tcPr>
            <w:tcW w:w="573" w:type="dxa"/>
            <w:vAlign w:val="center"/>
          </w:tcPr>
          <w:p>
            <w:pPr>
              <w:pStyle w:val="15"/>
            </w:pPr>
            <w:r>
              <w:t>0.60</w:t>
            </w: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r>
              <w:t>0.60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681" w:type="dxa"/>
            <w:vAlign w:val="center"/>
          </w:tcPr>
          <w:p>
            <w:pPr>
              <w:pStyle w:val="16"/>
            </w:pPr>
            <w:r>
              <w:t>2022年运转类公用项目（年初预算）</w:t>
            </w:r>
          </w:p>
        </w:tc>
        <w:tc>
          <w:tcPr>
            <w:tcW w:w="573" w:type="dxa"/>
            <w:vAlign w:val="center"/>
          </w:tcPr>
          <w:p>
            <w:pPr>
              <w:pStyle w:val="15"/>
            </w:pPr>
            <w:r>
              <w:t>159.91</w:t>
            </w:r>
          </w:p>
        </w:tc>
        <w:tc>
          <w:tcPr>
            <w:tcW w:w="573" w:type="dxa"/>
            <w:vAlign w:val="center"/>
          </w:tcPr>
          <w:p>
            <w:pPr>
              <w:pStyle w:val="16"/>
            </w:pPr>
            <w:r>
              <w:t>粉盒</w:t>
            </w:r>
          </w:p>
        </w:tc>
        <w:tc>
          <w:tcPr>
            <w:tcW w:w="573" w:type="dxa"/>
            <w:vAlign w:val="center"/>
          </w:tcPr>
          <w:p>
            <w:pPr>
              <w:pStyle w:val="16"/>
            </w:pPr>
            <w:r>
              <w:t>A090202</w:t>
            </w:r>
          </w:p>
        </w:tc>
        <w:tc>
          <w:tcPr>
            <w:tcW w:w="573" w:type="dxa"/>
            <w:vAlign w:val="center"/>
          </w:tcPr>
          <w:p>
            <w:pPr>
              <w:pStyle w:val="17"/>
            </w:pPr>
            <w:r>
              <w:t>只</w:t>
            </w:r>
          </w:p>
        </w:tc>
        <w:tc>
          <w:tcPr>
            <w:tcW w:w="573" w:type="dxa"/>
            <w:vAlign w:val="center"/>
          </w:tcPr>
          <w:p>
            <w:pPr>
              <w:pStyle w:val="15"/>
            </w:pPr>
            <w:r>
              <w:t>12</w:t>
            </w:r>
          </w:p>
        </w:tc>
        <w:tc>
          <w:tcPr>
            <w:tcW w:w="573" w:type="dxa"/>
            <w:vAlign w:val="center"/>
          </w:tcPr>
          <w:p>
            <w:pPr>
              <w:pStyle w:val="15"/>
            </w:pPr>
            <w:r>
              <w:t>0.05</w:t>
            </w:r>
          </w:p>
        </w:tc>
        <w:tc>
          <w:tcPr>
            <w:tcW w:w="573" w:type="dxa"/>
            <w:vAlign w:val="center"/>
          </w:tcPr>
          <w:p>
            <w:pPr>
              <w:pStyle w:val="15"/>
            </w:pPr>
            <w:r>
              <w:t>0.63</w:t>
            </w:r>
          </w:p>
        </w:tc>
        <w:tc>
          <w:tcPr>
            <w:tcW w:w="573" w:type="dxa"/>
            <w:vAlign w:val="center"/>
          </w:tcPr>
          <w:p>
            <w:pPr>
              <w:pStyle w:val="15"/>
            </w:pPr>
            <w:r>
              <w:t>0.63</w:t>
            </w: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r>
              <w:t>0.63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681" w:type="dxa"/>
            <w:vAlign w:val="center"/>
          </w:tcPr>
          <w:p>
            <w:pPr>
              <w:pStyle w:val="16"/>
            </w:pPr>
            <w:r>
              <w:t>2022年运转类公用项目（年初预算）</w:t>
            </w:r>
          </w:p>
        </w:tc>
        <w:tc>
          <w:tcPr>
            <w:tcW w:w="573" w:type="dxa"/>
            <w:vAlign w:val="center"/>
          </w:tcPr>
          <w:p>
            <w:pPr>
              <w:pStyle w:val="15"/>
            </w:pPr>
            <w:r>
              <w:t>159.91</w:t>
            </w:r>
          </w:p>
        </w:tc>
        <w:tc>
          <w:tcPr>
            <w:tcW w:w="573" w:type="dxa"/>
            <w:vAlign w:val="center"/>
          </w:tcPr>
          <w:p>
            <w:pPr>
              <w:pStyle w:val="16"/>
            </w:pPr>
            <w:r>
              <w:t>粉盒</w:t>
            </w:r>
          </w:p>
        </w:tc>
        <w:tc>
          <w:tcPr>
            <w:tcW w:w="573" w:type="dxa"/>
            <w:vAlign w:val="center"/>
          </w:tcPr>
          <w:p>
            <w:pPr>
              <w:pStyle w:val="16"/>
            </w:pPr>
            <w:r>
              <w:t>A090202</w:t>
            </w:r>
          </w:p>
        </w:tc>
        <w:tc>
          <w:tcPr>
            <w:tcW w:w="573" w:type="dxa"/>
            <w:vAlign w:val="center"/>
          </w:tcPr>
          <w:p>
            <w:pPr>
              <w:pStyle w:val="17"/>
            </w:pPr>
            <w:r>
              <w:t>只</w:t>
            </w:r>
          </w:p>
        </w:tc>
        <w:tc>
          <w:tcPr>
            <w:tcW w:w="573" w:type="dxa"/>
            <w:vAlign w:val="center"/>
          </w:tcPr>
          <w:p>
            <w:pPr>
              <w:pStyle w:val="15"/>
            </w:pPr>
            <w:r>
              <w:t>6</w:t>
            </w:r>
          </w:p>
        </w:tc>
        <w:tc>
          <w:tcPr>
            <w:tcW w:w="573" w:type="dxa"/>
            <w:vAlign w:val="center"/>
          </w:tcPr>
          <w:p>
            <w:pPr>
              <w:pStyle w:val="15"/>
            </w:pPr>
            <w:r>
              <w:t>0.06</w:t>
            </w:r>
          </w:p>
        </w:tc>
        <w:tc>
          <w:tcPr>
            <w:tcW w:w="573" w:type="dxa"/>
            <w:vAlign w:val="center"/>
          </w:tcPr>
          <w:p>
            <w:pPr>
              <w:pStyle w:val="15"/>
            </w:pPr>
            <w:r>
              <w:t>0.33</w:t>
            </w:r>
          </w:p>
        </w:tc>
        <w:tc>
          <w:tcPr>
            <w:tcW w:w="573" w:type="dxa"/>
            <w:vAlign w:val="center"/>
          </w:tcPr>
          <w:p>
            <w:pPr>
              <w:pStyle w:val="15"/>
            </w:pPr>
            <w:r>
              <w:t>0.33</w:t>
            </w: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r>
              <w:t>0.33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681" w:type="dxa"/>
            <w:vAlign w:val="center"/>
          </w:tcPr>
          <w:p>
            <w:pPr>
              <w:pStyle w:val="16"/>
            </w:pPr>
            <w:r>
              <w:t>2022年运转类公用项目（年初预算）</w:t>
            </w:r>
          </w:p>
        </w:tc>
        <w:tc>
          <w:tcPr>
            <w:tcW w:w="573" w:type="dxa"/>
            <w:vAlign w:val="center"/>
          </w:tcPr>
          <w:p>
            <w:pPr>
              <w:pStyle w:val="15"/>
            </w:pPr>
            <w:r>
              <w:t>159.91</w:t>
            </w:r>
          </w:p>
        </w:tc>
        <w:tc>
          <w:tcPr>
            <w:tcW w:w="573" w:type="dxa"/>
            <w:vAlign w:val="center"/>
          </w:tcPr>
          <w:p>
            <w:pPr>
              <w:pStyle w:val="16"/>
            </w:pPr>
            <w:r>
              <w:t>粉盒</w:t>
            </w:r>
          </w:p>
        </w:tc>
        <w:tc>
          <w:tcPr>
            <w:tcW w:w="573" w:type="dxa"/>
            <w:vAlign w:val="center"/>
          </w:tcPr>
          <w:p>
            <w:pPr>
              <w:pStyle w:val="16"/>
            </w:pPr>
            <w:r>
              <w:t>A090202</w:t>
            </w:r>
          </w:p>
        </w:tc>
        <w:tc>
          <w:tcPr>
            <w:tcW w:w="573" w:type="dxa"/>
            <w:vAlign w:val="center"/>
          </w:tcPr>
          <w:p>
            <w:pPr>
              <w:pStyle w:val="17"/>
            </w:pPr>
            <w:r>
              <w:t>只</w:t>
            </w:r>
          </w:p>
        </w:tc>
        <w:tc>
          <w:tcPr>
            <w:tcW w:w="573" w:type="dxa"/>
            <w:vAlign w:val="center"/>
          </w:tcPr>
          <w:p>
            <w:pPr>
              <w:pStyle w:val="15"/>
            </w:pPr>
            <w:r>
              <w:t>11</w:t>
            </w:r>
          </w:p>
        </w:tc>
        <w:tc>
          <w:tcPr>
            <w:tcW w:w="573" w:type="dxa"/>
            <w:vAlign w:val="center"/>
          </w:tcPr>
          <w:p>
            <w:pPr>
              <w:pStyle w:val="15"/>
            </w:pPr>
            <w:r>
              <w:t>0.15</w:t>
            </w:r>
          </w:p>
        </w:tc>
        <w:tc>
          <w:tcPr>
            <w:tcW w:w="573" w:type="dxa"/>
            <w:vAlign w:val="center"/>
          </w:tcPr>
          <w:p>
            <w:pPr>
              <w:pStyle w:val="15"/>
            </w:pPr>
            <w:r>
              <w:t>1.65</w:t>
            </w:r>
          </w:p>
        </w:tc>
        <w:tc>
          <w:tcPr>
            <w:tcW w:w="573" w:type="dxa"/>
            <w:vAlign w:val="center"/>
          </w:tcPr>
          <w:p>
            <w:pPr>
              <w:pStyle w:val="15"/>
            </w:pPr>
            <w:r>
              <w:t>1.65</w:t>
            </w: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r>
              <w:t>1.65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681" w:type="dxa"/>
            <w:vAlign w:val="center"/>
          </w:tcPr>
          <w:p>
            <w:pPr>
              <w:pStyle w:val="16"/>
            </w:pPr>
            <w:r>
              <w:t>2022年运转类公用项目（年初预算）</w:t>
            </w:r>
          </w:p>
        </w:tc>
        <w:tc>
          <w:tcPr>
            <w:tcW w:w="573" w:type="dxa"/>
            <w:vAlign w:val="center"/>
          </w:tcPr>
          <w:p>
            <w:pPr>
              <w:pStyle w:val="15"/>
            </w:pPr>
            <w:r>
              <w:t>159.91</w:t>
            </w:r>
          </w:p>
        </w:tc>
        <w:tc>
          <w:tcPr>
            <w:tcW w:w="573" w:type="dxa"/>
            <w:vAlign w:val="center"/>
          </w:tcPr>
          <w:p>
            <w:pPr>
              <w:pStyle w:val="16"/>
            </w:pPr>
            <w:r>
              <w:t>粉盒</w:t>
            </w:r>
          </w:p>
        </w:tc>
        <w:tc>
          <w:tcPr>
            <w:tcW w:w="573" w:type="dxa"/>
            <w:vAlign w:val="center"/>
          </w:tcPr>
          <w:p>
            <w:pPr>
              <w:pStyle w:val="16"/>
            </w:pPr>
            <w:r>
              <w:t>A090202</w:t>
            </w:r>
          </w:p>
        </w:tc>
        <w:tc>
          <w:tcPr>
            <w:tcW w:w="573" w:type="dxa"/>
            <w:vAlign w:val="center"/>
          </w:tcPr>
          <w:p>
            <w:pPr>
              <w:pStyle w:val="17"/>
            </w:pPr>
            <w:r>
              <w:t>只</w:t>
            </w:r>
          </w:p>
        </w:tc>
        <w:tc>
          <w:tcPr>
            <w:tcW w:w="573" w:type="dxa"/>
            <w:vAlign w:val="center"/>
          </w:tcPr>
          <w:p>
            <w:pPr>
              <w:pStyle w:val="15"/>
            </w:pPr>
            <w:r>
              <w:t>4</w:t>
            </w:r>
          </w:p>
        </w:tc>
        <w:tc>
          <w:tcPr>
            <w:tcW w:w="573" w:type="dxa"/>
            <w:vAlign w:val="center"/>
          </w:tcPr>
          <w:p>
            <w:pPr>
              <w:pStyle w:val="15"/>
            </w:pPr>
            <w:r>
              <w:t>0.06</w:t>
            </w:r>
          </w:p>
        </w:tc>
        <w:tc>
          <w:tcPr>
            <w:tcW w:w="573" w:type="dxa"/>
            <w:vAlign w:val="center"/>
          </w:tcPr>
          <w:p>
            <w:pPr>
              <w:pStyle w:val="15"/>
            </w:pPr>
            <w:r>
              <w:t>0.24</w:t>
            </w:r>
          </w:p>
        </w:tc>
        <w:tc>
          <w:tcPr>
            <w:tcW w:w="573" w:type="dxa"/>
            <w:vAlign w:val="center"/>
          </w:tcPr>
          <w:p>
            <w:pPr>
              <w:pStyle w:val="15"/>
            </w:pPr>
            <w:r>
              <w:t>0.24</w:t>
            </w: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r>
              <w:t>0.24</w:t>
            </w:r>
          </w:p>
        </w:tc>
      </w:tr>
    </w:tbl>
    <w:p>
      <w:pPr>
        <w:spacing w:line="500" w:lineRule="exact"/>
        <w:ind w:firstLine="420"/>
        <w:rPr>
          <w:rFonts w:ascii="方正仿宋_GBK" w:hAnsi="方正仿宋_GBK" w:eastAsia="方正仿宋_GBK" w:cs="方正仿宋_GBK"/>
          <w:color w:val="000000"/>
        </w:rPr>
      </w:pPr>
      <w:r>
        <w:rPr>
          <w:rFonts w:ascii="方正仿宋_GBK" w:hAnsi="方正仿宋_GBK" w:eastAsia="方正仿宋_GBK" w:cs="方正仿宋_GBK"/>
          <w:color w:val="000000"/>
        </w:rPr>
        <w:t>注：同一采购目录序号的物品，其单价会因配置规格不同而变动，均符合资产配置标准。涉密采购事项按照相关规定执行。</w:t>
      </w:r>
    </w:p>
    <w:p>
      <w:pPr>
        <w:spacing w:line="500" w:lineRule="exact"/>
        <w:ind w:firstLine="420"/>
        <w:rPr>
          <w:rFonts w:hint="eastAsia" w:ascii="方正仿宋_GBK" w:hAnsi="方正仿宋_GBK" w:eastAsia="方正仿宋_GBK" w:cs="方正仿宋_GBK"/>
          <w:color w:val="000000"/>
        </w:rPr>
      </w:pPr>
    </w:p>
    <w:p>
      <w:pPr>
        <w:spacing w:line="500" w:lineRule="exact"/>
        <w:ind w:firstLine="420"/>
        <w:rPr>
          <w:rFonts w:ascii="Times New Roman" w:hAnsi="Times New Roman" w:eastAsia="黑体" w:cs="Times New Roman"/>
          <w:sz w:val="32"/>
          <w:szCs w:val="32"/>
        </w:rPr>
      </w:pPr>
      <w:r>
        <w:rPr>
          <w:rFonts w:ascii="Times New Roman" w:hAnsi="Times New Roman" w:eastAsia="黑体" w:cs="Times New Roman"/>
          <w:sz w:val="32"/>
          <w:szCs w:val="32"/>
        </w:rPr>
        <w:t>七、国有资产信息</w:t>
      </w:r>
    </w:p>
    <w:p>
      <w:pPr>
        <w:spacing w:line="584" w:lineRule="exact"/>
        <w:ind w:firstLine="640"/>
        <w:rPr>
          <w:rFonts w:ascii="Times New Roman" w:hAnsi="Times New Roman" w:eastAsia="仿宋_GB2312" w:cs="Times New Roman"/>
          <w:sz w:val="32"/>
          <w:szCs w:val="32"/>
        </w:rPr>
      </w:pPr>
      <w:r>
        <w:rPr>
          <w:rFonts w:ascii="Times New Roman" w:hAnsi="Times New Roman" w:eastAsia="仿宋_GB2312" w:cs="Times New Roman"/>
          <w:sz w:val="32"/>
          <w:szCs w:val="32"/>
        </w:rPr>
        <w:t>廊坊市</w:t>
      </w:r>
      <w:r>
        <w:rPr>
          <w:rFonts w:hint="eastAsia" w:ascii="Times New Roman" w:hAnsi="Times New Roman" w:eastAsia="仿宋_GB2312" w:cs="Times New Roman"/>
          <w:sz w:val="32"/>
          <w:szCs w:val="32"/>
          <w:lang w:eastAsia="zh-CN"/>
        </w:rPr>
        <w:t>农林科学院本级</w:t>
      </w:r>
      <w:r>
        <w:rPr>
          <w:rFonts w:ascii="Times New Roman" w:hAnsi="Times New Roman" w:eastAsia="仿宋_GB2312" w:cs="Times New Roman"/>
          <w:sz w:val="32"/>
          <w:szCs w:val="32"/>
        </w:rPr>
        <w:t>上年末固定资产金额为</w:t>
      </w:r>
      <w:r>
        <w:rPr>
          <w:rFonts w:hint="eastAsia" w:ascii="Times New Roman" w:hAnsi="Times New Roman" w:eastAsia="仿宋_GB2312" w:cs="Times New Roman"/>
          <w:sz w:val="32"/>
          <w:szCs w:val="32"/>
          <w:lang w:val="en-US" w:eastAsia="zh-CN"/>
        </w:rPr>
        <w:t>3928.52</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（详见下表）</w:t>
      </w:r>
      <w:r>
        <w:rPr>
          <w:rFonts w:ascii="Times New Roman" w:hAnsi="Times New Roman" w:eastAsia="仿宋_GB2312" w:cs="Times New Roman"/>
          <w:sz w:val="32"/>
          <w:szCs w:val="32"/>
        </w:rPr>
        <w:t>，本年度我部门拟购置固定资产</w:t>
      </w:r>
      <w:r>
        <w:rPr>
          <w:rFonts w:hint="eastAsia" w:ascii="Times New Roman" w:hAnsi="Times New Roman" w:eastAsia="仿宋_GB2312" w:cs="Times New Roman"/>
          <w:sz w:val="32"/>
          <w:szCs w:val="32"/>
        </w:rPr>
        <w:t>总额</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万元，</w:t>
      </w:r>
      <w:r>
        <w:rPr>
          <w:rFonts w:ascii="Times New Roman" w:hAnsi="Times New Roman" w:eastAsia="仿宋_GB2312" w:cs="Times New Roman"/>
          <w:sz w:val="32"/>
          <w:szCs w:val="32"/>
        </w:rPr>
        <w:t>详见</w:t>
      </w:r>
      <w:r>
        <w:rPr>
          <w:rFonts w:hint="eastAsia" w:ascii="Times New Roman" w:hAnsi="Times New Roman" w:eastAsia="仿宋_GB2312" w:cs="Times New Roman"/>
          <w:sz w:val="32"/>
          <w:szCs w:val="32"/>
        </w:rPr>
        <w:t>政府采购</w:t>
      </w:r>
      <w:r>
        <w:rPr>
          <w:rFonts w:ascii="Times New Roman" w:hAnsi="Times New Roman" w:eastAsia="仿宋_GB2312" w:cs="Times New Roman"/>
          <w:sz w:val="32"/>
          <w:szCs w:val="32"/>
        </w:rPr>
        <w:t>预算表。</w:t>
      </w:r>
    </w:p>
    <w:tbl>
      <w:tblPr>
        <w:tblStyle w:val="10"/>
        <w:tblpPr w:leftFromText="180" w:rightFromText="180" w:vertAnchor="text" w:horzAnchor="page" w:tblpX="837" w:tblpY="307"/>
        <w:tblOverlap w:val="never"/>
        <w:tblW w:w="9900" w:type="dxa"/>
        <w:tblInd w:w="0" w:type="dxa"/>
        <w:tblLayout w:type="fixed"/>
        <w:tblCellMar>
          <w:top w:w="0" w:type="dxa"/>
          <w:left w:w="108" w:type="dxa"/>
          <w:bottom w:w="0" w:type="dxa"/>
          <w:right w:w="108" w:type="dxa"/>
        </w:tblCellMar>
      </w:tblPr>
      <w:tblGrid>
        <w:gridCol w:w="3100"/>
        <w:gridCol w:w="3168"/>
        <w:gridCol w:w="3632"/>
      </w:tblGrid>
      <w:tr>
        <w:tblPrEx>
          <w:tblCellMar>
            <w:top w:w="0" w:type="dxa"/>
            <w:left w:w="108" w:type="dxa"/>
            <w:bottom w:w="0" w:type="dxa"/>
            <w:right w:w="108" w:type="dxa"/>
          </w:tblCellMar>
        </w:tblPrEx>
        <w:trPr>
          <w:trHeight w:val="705" w:hRule="atLeast"/>
        </w:trPr>
        <w:tc>
          <w:tcPr>
            <w:tcW w:w="9900" w:type="dxa"/>
            <w:gridSpan w:val="3"/>
            <w:tcBorders>
              <w:top w:val="nil"/>
              <w:left w:val="nil"/>
              <w:bottom w:val="nil"/>
              <w:right w:val="nil"/>
            </w:tcBorders>
            <w:shd w:val="clear" w:color="auto" w:fill="auto"/>
            <w:noWrap/>
            <w:vAlign w:val="center"/>
          </w:tcPr>
          <w:p>
            <w:pPr>
              <w:widowControl/>
              <w:spacing w:line="584" w:lineRule="exact"/>
              <w:jc w:val="center"/>
              <w:rPr>
                <w:rFonts w:ascii="Times New Roman" w:hAnsi="Times New Roman" w:eastAsia="仿宋_GB2312" w:cs="Times New Roman"/>
                <w:b/>
                <w:bCs/>
                <w:kern w:val="0"/>
                <w:sz w:val="32"/>
                <w:szCs w:val="32"/>
              </w:rPr>
            </w:pPr>
            <w:r>
              <w:rPr>
                <w:rFonts w:ascii="Times New Roman" w:hAnsi="Times New Roman" w:eastAsia="仿宋_GB2312" w:cs="Times New Roman"/>
                <w:b/>
                <w:bCs/>
                <w:kern w:val="0"/>
                <w:sz w:val="32"/>
                <w:szCs w:val="32"/>
              </w:rPr>
              <w:t>廊坊市市直部门固定资产占用情况表</w:t>
            </w:r>
          </w:p>
        </w:tc>
      </w:tr>
      <w:tr>
        <w:tblPrEx>
          <w:tblCellMar>
            <w:top w:w="0" w:type="dxa"/>
            <w:left w:w="108" w:type="dxa"/>
            <w:bottom w:w="0" w:type="dxa"/>
            <w:right w:w="108" w:type="dxa"/>
          </w:tblCellMar>
        </w:tblPrEx>
        <w:trPr>
          <w:trHeight w:val="510" w:hRule="atLeast"/>
        </w:trPr>
        <w:tc>
          <w:tcPr>
            <w:tcW w:w="6268" w:type="dxa"/>
            <w:gridSpan w:val="2"/>
            <w:tcBorders>
              <w:top w:val="nil"/>
              <w:left w:val="nil"/>
              <w:bottom w:val="nil"/>
              <w:right w:val="nil"/>
            </w:tcBorders>
            <w:shd w:val="clear" w:color="auto" w:fill="auto"/>
            <w:noWrap/>
            <w:vAlign w:val="center"/>
          </w:tcPr>
          <w:p>
            <w:pPr>
              <w:widowControl/>
              <w:spacing w:line="584" w:lineRule="exact"/>
              <w:jc w:val="left"/>
              <w:rPr>
                <w:rFonts w:hint="eastAsia" w:ascii="Times New Roman" w:hAnsi="Times New Roman" w:eastAsia="仿宋_GB2312" w:cs="Times New Roman"/>
                <w:kern w:val="0"/>
                <w:sz w:val="22"/>
                <w:lang w:eastAsia="zh-CN"/>
              </w:rPr>
            </w:pPr>
            <w:r>
              <w:rPr>
                <w:rFonts w:ascii="Times New Roman" w:hAnsi="Times New Roman" w:eastAsia="仿宋_GB2312" w:cs="Times New Roman"/>
                <w:kern w:val="0"/>
                <w:sz w:val="22"/>
              </w:rPr>
              <w:t>编制部门：廊坊市</w:t>
            </w:r>
            <w:r>
              <w:rPr>
                <w:rFonts w:hint="eastAsia" w:ascii="Times New Roman" w:hAnsi="Times New Roman" w:eastAsia="仿宋_GB2312" w:cs="Times New Roman"/>
                <w:kern w:val="0"/>
                <w:sz w:val="22"/>
                <w:lang w:eastAsia="zh-CN"/>
              </w:rPr>
              <w:t>农林科学院</w:t>
            </w:r>
          </w:p>
        </w:tc>
        <w:tc>
          <w:tcPr>
            <w:tcW w:w="3632" w:type="dxa"/>
            <w:tcBorders>
              <w:top w:val="nil"/>
              <w:left w:val="nil"/>
              <w:bottom w:val="nil"/>
              <w:right w:val="nil"/>
            </w:tcBorders>
            <w:shd w:val="clear" w:color="auto" w:fill="auto"/>
            <w:noWrap/>
            <w:vAlign w:val="center"/>
          </w:tcPr>
          <w:p>
            <w:pPr>
              <w:widowControl/>
              <w:spacing w:line="584"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截止时间：20</w:t>
            </w:r>
            <w:r>
              <w:rPr>
                <w:rFonts w:hint="eastAsia" w:ascii="Times New Roman" w:hAnsi="Times New Roman" w:eastAsia="仿宋_GB2312" w:cs="Times New Roman"/>
                <w:kern w:val="0"/>
                <w:sz w:val="22"/>
              </w:rPr>
              <w:t>2</w:t>
            </w:r>
            <w:r>
              <w:rPr>
                <w:rFonts w:ascii="Times New Roman" w:hAnsi="Times New Roman" w:eastAsia="仿宋_GB2312" w:cs="Times New Roman"/>
                <w:kern w:val="0"/>
                <w:sz w:val="22"/>
              </w:rPr>
              <w:t xml:space="preserve">1年12月31日  </w:t>
            </w:r>
          </w:p>
        </w:tc>
      </w:tr>
      <w:tr>
        <w:tblPrEx>
          <w:tblCellMar>
            <w:top w:w="0" w:type="dxa"/>
            <w:left w:w="108" w:type="dxa"/>
            <w:bottom w:w="0" w:type="dxa"/>
            <w:right w:w="108" w:type="dxa"/>
          </w:tblCellMar>
        </w:tblPrEx>
        <w:trPr>
          <w:trHeight w:val="567" w:hRule="exact"/>
        </w:trPr>
        <w:tc>
          <w:tcPr>
            <w:tcW w:w="31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b/>
                <w:bCs/>
                <w:kern w:val="0"/>
                <w:sz w:val="22"/>
              </w:rPr>
            </w:pPr>
            <w:r>
              <w:rPr>
                <w:rFonts w:ascii="Times New Roman" w:hAnsi="Times New Roman" w:eastAsia="仿宋_GB2312" w:cs="Times New Roman"/>
                <w:b/>
                <w:bCs/>
                <w:kern w:val="0"/>
                <w:sz w:val="22"/>
              </w:rPr>
              <w:t>项   目</w:t>
            </w:r>
          </w:p>
        </w:tc>
        <w:tc>
          <w:tcPr>
            <w:tcW w:w="3168" w:type="dxa"/>
            <w:tcBorders>
              <w:top w:val="single" w:color="auto" w:sz="4" w:space="0"/>
              <w:left w:val="nil"/>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b/>
                <w:bCs/>
                <w:kern w:val="0"/>
                <w:sz w:val="22"/>
              </w:rPr>
            </w:pPr>
            <w:r>
              <w:rPr>
                <w:rFonts w:ascii="Times New Roman" w:hAnsi="Times New Roman" w:eastAsia="仿宋_GB2312" w:cs="Times New Roman"/>
                <w:b/>
                <w:bCs/>
                <w:kern w:val="0"/>
                <w:sz w:val="22"/>
              </w:rPr>
              <w:t>数量</w:t>
            </w:r>
          </w:p>
        </w:tc>
        <w:tc>
          <w:tcPr>
            <w:tcW w:w="3632" w:type="dxa"/>
            <w:tcBorders>
              <w:top w:val="single" w:color="auto" w:sz="4" w:space="0"/>
              <w:left w:val="nil"/>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b/>
                <w:bCs/>
                <w:kern w:val="0"/>
                <w:sz w:val="22"/>
              </w:rPr>
            </w:pPr>
            <w:r>
              <w:rPr>
                <w:rFonts w:ascii="Times New Roman" w:hAnsi="Times New Roman" w:eastAsia="仿宋_GB2312" w:cs="Times New Roman"/>
                <w:b/>
                <w:bCs/>
                <w:kern w:val="0"/>
                <w:sz w:val="22"/>
              </w:rPr>
              <w:t>价值（金额单位：万元）</w:t>
            </w:r>
          </w:p>
        </w:tc>
      </w:tr>
      <w:tr>
        <w:tblPrEx>
          <w:tblCellMar>
            <w:top w:w="0" w:type="dxa"/>
            <w:left w:w="108" w:type="dxa"/>
            <w:bottom w:w="0" w:type="dxa"/>
            <w:right w:w="108" w:type="dxa"/>
          </w:tblCellMar>
        </w:tblPrEx>
        <w:trPr>
          <w:trHeight w:val="567" w:hRule="exact"/>
        </w:trPr>
        <w:tc>
          <w:tcPr>
            <w:tcW w:w="3100"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资产总额</w:t>
            </w:r>
          </w:p>
        </w:tc>
        <w:tc>
          <w:tcPr>
            <w:tcW w:w="3168"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ascii="Times New Roman" w:hAnsi="Times New Roman" w:eastAsia="仿宋_GB2312" w:cs="Times New Roman"/>
                <w:sz w:val="22"/>
              </w:rPr>
            </w:pPr>
            <w:r>
              <w:rPr>
                <w:rFonts w:ascii="Times New Roman" w:hAnsi="Times New Roman" w:eastAsia="仿宋_GB2312" w:cs="Times New Roman"/>
                <w:sz w:val="22"/>
              </w:rPr>
              <w:t>——</w:t>
            </w:r>
          </w:p>
        </w:tc>
        <w:tc>
          <w:tcPr>
            <w:tcW w:w="3632"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3928.52</w:t>
            </w:r>
          </w:p>
        </w:tc>
      </w:tr>
      <w:tr>
        <w:tblPrEx>
          <w:tblCellMar>
            <w:top w:w="0" w:type="dxa"/>
            <w:left w:w="108" w:type="dxa"/>
            <w:bottom w:w="0" w:type="dxa"/>
            <w:right w:w="108" w:type="dxa"/>
          </w:tblCellMar>
        </w:tblPrEx>
        <w:trPr>
          <w:trHeight w:val="567" w:hRule="exact"/>
        </w:trPr>
        <w:tc>
          <w:tcPr>
            <w:tcW w:w="3100"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1、房屋（平方米）</w:t>
            </w:r>
          </w:p>
        </w:tc>
        <w:tc>
          <w:tcPr>
            <w:tcW w:w="3168"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8776.07</w:t>
            </w:r>
          </w:p>
        </w:tc>
        <w:tc>
          <w:tcPr>
            <w:tcW w:w="3632"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2787.61</w:t>
            </w:r>
          </w:p>
        </w:tc>
      </w:tr>
      <w:tr>
        <w:tblPrEx>
          <w:tblCellMar>
            <w:top w:w="0" w:type="dxa"/>
            <w:left w:w="108" w:type="dxa"/>
            <w:bottom w:w="0" w:type="dxa"/>
            <w:right w:w="108" w:type="dxa"/>
          </w:tblCellMar>
        </w:tblPrEx>
        <w:trPr>
          <w:trHeight w:val="567" w:hRule="exact"/>
        </w:trPr>
        <w:tc>
          <w:tcPr>
            <w:tcW w:w="3100"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其中：办公用房（平方米）</w:t>
            </w:r>
          </w:p>
        </w:tc>
        <w:tc>
          <w:tcPr>
            <w:tcW w:w="3168"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4600</w:t>
            </w:r>
          </w:p>
        </w:tc>
        <w:tc>
          <w:tcPr>
            <w:tcW w:w="3632"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1600</w:t>
            </w:r>
          </w:p>
        </w:tc>
      </w:tr>
      <w:tr>
        <w:tblPrEx>
          <w:tblCellMar>
            <w:top w:w="0" w:type="dxa"/>
            <w:left w:w="108" w:type="dxa"/>
            <w:bottom w:w="0" w:type="dxa"/>
            <w:right w:w="108" w:type="dxa"/>
          </w:tblCellMar>
        </w:tblPrEx>
        <w:trPr>
          <w:trHeight w:val="567" w:hRule="exact"/>
        </w:trPr>
        <w:tc>
          <w:tcPr>
            <w:tcW w:w="3100"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2、车辆（台、辆）</w:t>
            </w:r>
          </w:p>
        </w:tc>
        <w:tc>
          <w:tcPr>
            <w:tcW w:w="3168"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eastAsia"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4</w:t>
            </w:r>
          </w:p>
        </w:tc>
        <w:tc>
          <w:tcPr>
            <w:tcW w:w="3632"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83.97</w:t>
            </w:r>
          </w:p>
        </w:tc>
      </w:tr>
      <w:tr>
        <w:tblPrEx>
          <w:tblCellMar>
            <w:top w:w="0" w:type="dxa"/>
            <w:left w:w="108" w:type="dxa"/>
            <w:bottom w:w="0" w:type="dxa"/>
            <w:right w:w="108" w:type="dxa"/>
          </w:tblCellMar>
        </w:tblPrEx>
        <w:trPr>
          <w:trHeight w:val="567" w:hRule="exact"/>
        </w:trPr>
        <w:tc>
          <w:tcPr>
            <w:tcW w:w="3100" w:type="dxa"/>
            <w:tcBorders>
              <w:top w:val="nil"/>
              <w:left w:val="single" w:color="auto" w:sz="4" w:space="0"/>
              <w:bottom w:val="single" w:color="auto" w:sz="4" w:space="0"/>
              <w:right w:val="single" w:color="auto" w:sz="4" w:space="0"/>
            </w:tcBorders>
            <w:shd w:val="clear" w:color="auto" w:fill="auto"/>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3、单价在20万元以上的设备</w:t>
            </w:r>
          </w:p>
        </w:tc>
        <w:tc>
          <w:tcPr>
            <w:tcW w:w="3168"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12</w:t>
            </w:r>
          </w:p>
        </w:tc>
        <w:tc>
          <w:tcPr>
            <w:tcW w:w="3632"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592.6</w:t>
            </w:r>
          </w:p>
        </w:tc>
      </w:tr>
      <w:tr>
        <w:tblPrEx>
          <w:tblCellMar>
            <w:top w:w="0" w:type="dxa"/>
            <w:left w:w="108" w:type="dxa"/>
            <w:bottom w:w="0" w:type="dxa"/>
            <w:right w:w="108" w:type="dxa"/>
          </w:tblCellMar>
        </w:tblPrEx>
        <w:trPr>
          <w:trHeight w:val="567" w:hRule="exact"/>
        </w:trPr>
        <w:tc>
          <w:tcPr>
            <w:tcW w:w="3100"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4、其他固定资产</w:t>
            </w:r>
          </w:p>
        </w:tc>
        <w:tc>
          <w:tcPr>
            <w:tcW w:w="3168"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1870</w:t>
            </w:r>
          </w:p>
        </w:tc>
        <w:tc>
          <w:tcPr>
            <w:tcW w:w="3632"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464.34</w:t>
            </w:r>
          </w:p>
        </w:tc>
      </w:tr>
    </w:tbl>
    <w:p>
      <w:pPr>
        <w:spacing w:line="584" w:lineRule="exact"/>
        <w:ind w:firstLine="640"/>
        <w:rPr>
          <w:rFonts w:ascii="Times New Roman" w:hAnsi="Times New Roman" w:eastAsia="仿宋_GB2312" w:cs="Times New Roman"/>
          <w:sz w:val="32"/>
          <w:szCs w:val="32"/>
        </w:rPr>
      </w:pPr>
      <w:bookmarkStart w:id="6" w:name="_GoBack"/>
      <w:bookmarkEnd w:id="6"/>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八、名词解释</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1、一般公共预算拨款收入：</w:t>
      </w:r>
      <w:r>
        <w:rPr>
          <w:rFonts w:ascii="Times New Roman" w:hAnsi="Times New Roman" w:eastAsia="仿宋_GB2312" w:cs="Times New Roman"/>
          <w:sz w:val="32"/>
          <w:szCs w:val="32"/>
        </w:rPr>
        <w:t>指</w:t>
      </w:r>
      <w:r>
        <w:rPr>
          <w:rFonts w:hint="eastAsia" w:ascii="Times New Roman" w:hAnsi="Times New Roman" w:eastAsia="仿宋_GB2312" w:cs="Times New Roman"/>
          <w:sz w:val="32"/>
          <w:szCs w:val="32"/>
          <w:lang w:eastAsia="zh-CN"/>
        </w:rPr>
        <w:t>市</w:t>
      </w:r>
      <w:r>
        <w:rPr>
          <w:rFonts w:ascii="Times New Roman" w:hAnsi="Times New Roman" w:eastAsia="仿宋_GB2312" w:cs="Times New Roman"/>
          <w:sz w:val="32"/>
          <w:szCs w:val="32"/>
        </w:rPr>
        <w:t>级财政当年拨付的资金。</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2、事业收入：</w:t>
      </w:r>
      <w:r>
        <w:rPr>
          <w:rFonts w:ascii="Times New Roman" w:hAnsi="Times New Roman" w:eastAsia="仿宋_GB2312" w:cs="Times New Roman"/>
          <w:sz w:val="32"/>
          <w:szCs w:val="32"/>
        </w:rPr>
        <w:t>指事业单位开展专业业务活动及辅助活动所取得的收入。</w:t>
      </w:r>
    </w:p>
    <w:p>
      <w:pPr>
        <w:tabs>
          <w:tab w:val="left" w:pos="11490"/>
        </w:tabs>
        <w:spacing w:line="584" w:lineRule="exact"/>
        <w:ind w:firstLine="642" w:firstLineChars="200"/>
        <w:rPr>
          <w:rFonts w:ascii="Times New Roman" w:hAnsi="Times New Roman" w:eastAsia="仿宋_GB2312" w:cs="Times New Roman"/>
          <w:b/>
          <w:sz w:val="32"/>
          <w:szCs w:val="32"/>
        </w:rPr>
      </w:pPr>
      <w:r>
        <w:rPr>
          <w:rFonts w:ascii="Times New Roman" w:hAnsi="Times New Roman" w:eastAsia="仿宋_GB2312" w:cs="Times New Roman"/>
          <w:b/>
          <w:sz w:val="32"/>
          <w:szCs w:val="32"/>
        </w:rPr>
        <w:t>3、其他收入：</w:t>
      </w:r>
      <w:r>
        <w:rPr>
          <w:rFonts w:ascii="Times New Roman" w:hAnsi="Times New Roman" w:eastAsia="仿宋_GB2312" w:cs="Times New Roman"/>
          <w:sz w:val="32"/>
          <w:szCs w:val="32"/>
        </w:rPr>
        <w:t>指除“一般公共预算拨款收入”、“事业收入”等以外的收入。主要是按规定动用的租房收入、存款利息收入等。</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4、基本支出：</w:t>
      </w:r>
      <w:r>
        <w:rPr>
          <w:rFonts w:ascii="Times New Roman" w:hAnsi="Times New Roman" w:eastAsia="仿宋_GB2312" w:cs="Times New Roman"/>
          <w:sz w:val="32"/>
          <w:szCs w:val="32"/>
        </w:rPr>
        <w:t>指为保障机构正常运转、完成日常工作任务而发生的人员支出和公用支出。</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5、项目支出：</w:t>
      </w:r>
      <w:r>
        <w:rPr>
          <w:rFonts w:ascii="Times New Roman" w:hAnsi="Times New Roman" w:eastAsia="仿宋_GB2312" w:cs="Times New Roman"/>
          <w:sz w:val="32"/>
          <w:szCs w:val="32"/>
        </w:rPr>
        <w:t>指在基本支出之外为完成特定行政任务和事业发展目标所发生的支出。</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6、上缴上级支出：</w:t>
      </w:r>
      <w:r>
        <w:rPr>
          <w:rFonts w:ascii="Times New Roman" w:hAnsi="Times New Roman" w:eastAsia="仿宋_GB2312" w:cs="Times New Roman"/>
          <w:sz w:val="32"/>
          <w:szCs w:val="32"/>
        </w:rPr>
        <w:t>指下级单位上缴上级的支出。</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7、“三公”经费：</w:t>
      </w:r>
      <w:r>
        <w:rPr>
          <w:rFonts w:ascii="Times New Roman" w:hAnsi="Times New Roman" w:eastAsia="仿宋_GB2312" w:cs="Times New Roman"/>
          <w:sz w:val="32"/>
          <w:szCs w:val="32"/>
        </w:rPr>
        <w:t>纳入</w:t>
      </w:r>
      <w:r>
        <w:rPr>
          <w:rFonts w:hint="eastAsia" w:ascii="Times New Roman" w:hAnsi="Times New Roman" w:eastAsia="仿宋_GB2312" w:cs="Times New Roman"/>
          <w:sz w:val="32"/>
          <w:szCs w:val="32"/>
          <w:lang w:eastAsia="zh-CN"/>
        </w:rPr>
        <w:t>市</w:t>
      </w:r>
      <w:r>
        <w:rPr>
          <w:rFonts w:ascii="Times New Roman" w:hAnsi="Times New Roman" w:eastAsia="仿宋_GB2312" w:cs="Times New Roman"/>
          <w:sz w:val="32"/>
          <w:szCs w:val="32"/>
        </w:rPr>
        <w:t>级财政预算管理的“三公”经费，是指</w:t>
      </w:r>
      <w:r>
        <w:rPr>
          <w:rFonts w:hint="eastAsia" w:ascii="Times New Roman" w:hAnsi="Times New Roman" w:eastAsia="仿宋_GB2312" w:cs="Times New Roman"/>
          <w:sz w:val="32"/>
          <w:szCs w:val="32"/>
          <w:lang w:eastAsia="zh-CN"/>
        </w:rPr>
        <w:t>市</w:t>
      </w:r>
      <w:r>
        <w:rPr>
          <w:rFonts w:ascii="Times New Roman" w:hAnsi="Times New Roman" w:eastAsia="仿宋_GB2312" w:cs="Times New Roman"/>
          <w:sz w:val="32"/>
          <w:szCs w:val="32"/>
        </w:rPr>
        <w:t>级部门用财政拨款安排的因公出国（境）费、公务用车购置及运维费和公务接待费。其中，因公出国（境）费反映单位公务出国（境）的住宿费、旅费、伙食补助费、杂费、培训费等支出；公务用车购置及运维费反映单位公务用车购置费及租用费、燃料费、维修费、过路过桥费、保险费、安全奖励费用等支出；公务接待费反映单位按规定开支的各类公务接待（含外宾接待）支出。</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8、机关运行费：</w:t>
      </w:r>
      <w:r>
        <w:rPr>
          <w:rFonts w:ascii="Times New Roman" w:hAnsi="Times New Roman" w:eastAsia="仿宋_GB2312" w:cs="Times New Roman"/>
          <w:sz w:val="32"/>
          <w:szCs w:val="32"/>
        </w:rPr>
        <w:t>为保障全部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9、上年结转：</w:t>
      </w:r>
      <w:r>
        <w:rPr>
          <w:rFonts w:ascii="Times New Roman" w:hAnsi="Times New Roman" w:eastAsia="仿宋_GB2312" w:cs="Times New Roman"/>
          <w:sz w:val="32"/>
          <w:szCs w:val="32"/>
        </w:rPr>
        <w:t>指以前年度尚未完成、结转到本年仍按原规定用途继续使用的资金。</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10、事业单位经营支出：</w:t>
      </w:r>
      <w:r>
        <w:rPr>
          <w:rFonts w:ascii="Times New Roman" w:hAnsi="Times New Roman" w:eastAsia="仿宋_GB2312" w:cs="Times New Roman"/>
          <w:sz w:val="32"/>
          <w:szCs w:val="32"/>
        </w:rPr>
        <w:t>指事业单位在专业业务活动及其辅助活动之外开展非独立核算经营活动发生的支出。</w:t>
      </w: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九、其他需要说明的事项</w:t>
      </w: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我部门无其他需要说明的事项。</w:t>
      </w:r>
    </w:p>
    <w:sectPr>
      <w:footerReference r:id="rId3"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10" w:usb3="00000000" w:csb0="00040000" w:csb1="00000000"/>
  </w:font>
  <w:font w:name="方正书宋_GBK">
    <w:panose1 w:val="02000000000000000000"/>
    <w:charset w:val="86"/>
    <w:family w:val="roman"/>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altName w:val="方正楷体_GBK"/>
    <w:panose1 w:val="00000000000000000000"/>
    <w:charset w:val="86"/>
    <w:family w:val="modern"/>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auto"/>
    <w:pitch w:val="default"/>
    <w:sig w:usb0="00000000" w:usb1="00000000" w:usb2="00000016" w:usb3="00000000" w:csb0="00040001"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rPr>
      <w:t>-</w:t>
    </w:r>
    <w:r>
      <w:fldChar w:fldCharType="begin"/>
    </w:r>
    <w:r>
      <w:instrText xml:space="preserve">PAGE   \* MERGEFORMAT</w:instrText>
    </w:r>
    <w:r>
      <w:fldChar w:fldCharType="separate"/>
    </w:r>
    <w:r>
      <w:rPr>
        <w:lang w:val="zh-CN"/>
      </w:rPr>
      <w:t>9</w:t>
    </w:r>
    <w:r>
      <w:rPr>
        <w:lang w:val="zh-CN"/>
      </w:rPr>
      <w:fldChar w:fldCharType="end"/>
    </w:r>
    <w:r>
      <w:rPr>
        <w:rFonts w:hint="eastAsia"/>
      </w:rPr>
      <w:t>-</w:t>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AE85C8"/>
    <w:multiLevelType w:val="singleLevel"/>
    <w:tmpl w:val="57AE85C8"/>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2"/>
  </w:compat>
  <w:rsids>
    <w:rsidRoot w:val="00D347CC"/>
    <w:rsid w:val="000230E6"/>
    <w:rsid w:val="0025632D"/>
    <w:rsid w:val="004A54AA"/>
    <w:rsid w:val="00626000"/>
    <w:rsid w:val="00944233"/>
    <w:rsid w:val="00A31F84"/>
    <w:rsid w:val="00B40732"/>
    <w:rsid w:val="00B80935"/>
    <w:rsid w:val="00D347CC"/>
    <w:rsid w:val="01647F95"/>
    <w:rsid w:val="016F701E"/>
    <w:rsid w:val="018D3860"/>
    <w:rsid w:val="01A2548B"/>
    <w:rsid w:val="01AF64FB"/>
    <w:rsid w:val="01DD542C"/>
    <w:rsid w:val="0211152E"/>
    <w:rsid w:val="022E5922"/>
    <w:rsid w:val="023D0579"/>
    <w:rsid w:val="028C7F31"/>
    <w:rsid w:val="02EE19A2"/>
    <w:rsid w:val="03744CF9"/>
    <w:rsid w:val="037A4B37"/>
    <w:rsid w:val="03EC498F"/>
    <w:rsid w:val="04171279"/>
    <w:rsid w:val="041D2408"/>
    <w:rsid w:val="04390D08"/>
    <w:rsid w:val="05907A47"/>
    <w:rsid w:val="06692236"/>
    <w:rsid w:val="077754A8"/>
    <w:rsid w:val="07796647"/>
    <w:rsid w:val="078C7F6B"/>
    <w:rsid w:val="07E438C0"/>
    <w:rsid w:val="08414E14"/>
    <w:rsid w:val="08DF5746"/>
    <w:rsid w:val="09010160"/>
    <w:rsid w:val="09810D5D"/>
    <w:rsid w:val="09E807BD"/>
    <w:rsid w:val="0A385232"/>
    <w:rsid w:val="0B053716"/>
    <w:rsid w:val="0B5471F5"/>
    <w:rsid w:val="0B565184"/>
    <w:rsid w:val="0BCC2147"/>
    <w:rsid w:val="0BD80AD2"/>
    <w:rsid w:val="0C0E07BE"/>
    <w:rsid w:val="0C1F6C1F"/>
    <w:rsid w:val="0C380285"/>
    <w:rsid w:val="0C8B2E6F"/>
    <w:rsid w:val="0CD75A7B"/>
    <w:rsid w:val="0D114D8F"/>
    <w:rsid w:val="0D7D50CE"/>
    <w:rsid w:val="0DD72EFC"/>
    <w:rsid w:val="0E5A703E"/>
    <w:rsid w:val="0E6C6AFA"/>
    <w:rsid w:val="0EF413BD"/>
    <w:rsid w:val="0F3B4D58"/>
    <w:rsid w:val="10027124"/>
    <w:rsid w:val="1031014C"/>
    <w:rsid w:val="10984B96"/>
    <w:rsid w:val="10A55B2F"/>
    <w:rsid w:val="11767B20"/>
    <w:rsid w:val="119F13EB"/>
    <w:rsid w:val="11D967A1"/>
    <w:rsid w:val="121A1A25"/>
    <w:rsid w:val="123D5EED"/>
    <w:rsid w:val="12E75029"/>
    <w:rsid w:val="130A5A12"/>
    <w:rsid w:val="131F489B"/>
    <w:rsid w:val="13515E17"/>
    <w:rsid w:val="139D3074"/>
    <w:rsid w:val="14042F5C"/>
    <w:rsid w:val="147932DF"/>
    <w:rsid w:val="14C207B8"/>
    <w:rsid w:val="14E4440D"/>
    <w:rsid w:val="15313567"/>
    <w:rsid w:val="15583C30"/>
    <w:rsid w:val="15621543"/>
    <w:rsid w:val="15F10009"/>
    <w:rsid w:val="16403F77"/>
    <w:rsid w:val="165726D2"/>
    <w:rsid w:val="170F566E"/>
    <w:rsid w:val="174D37DA"/>
    <w:rsid w:val="17AD5E54"/>
    <w:rsid w:val="18354FC5"/>
    <w:rsid w:val="184417B6"/>
    <w:rsid w:val="184603D8"/>
    <w:rsid w:val="184D4919"/>
    <w:rsid w:val="18717E22"/>
    <w:rsid w:val="188548B6"/>
    <w:rsid w:val="18B6059E"/>
    <w:rsid w:val="18E335AA"/>
    <w:rsid w:val="191A633A"/>
    <w:rsid w:val="19376E62"/>
    <w:rsid w:val="19396C3C"/>
    <w:rsid w:val="19602349"/>
    <w:rsid w:val="19A81D1A"/>
    <w:rsid w:val="19CE0484"/>
    <w:rsid w:val="1A397D2E"/>
    <w:rsid w:val="1A4D2833"/>
    <w:rsid w:val="1A5B44CB"/>
    <w:rsid w:val="1AB17C62"/>
    <w:rsid w:val="1B0B6576"/>
    <w:rsid w:val="1B5C719A"/>
    <w:rsid w:val="1BDE60FA"/>
    <w:rsid w:val="1C387E3D"/>
    <w:rsid w:val="1DA54CCC"/>
    <w:rsid w:val="1DA757D7"/>
    <w:rsid w:val="1E0B770A"/>
    <w:rsid w:val="1E2321DB"/>
    <w:rsid w:val="1E294768"/>
    <w:rsid w:val="1E742DBC"/>
    <w:rsid w:val="1EBE3FFD"/>
    <w:rsid w:val="1EFF0FEF"/>
    <w:rsid w:val="1F0E7815"/>
    <w:rsid w:val="1F7C53E4"/>
    <w:rsid w:val="1FEB19FC"/>
    <w:rsid w:val="2023610E"/>
    <w:rsid w:val="20E30817"/>
    <w:rsid w:val="212D2491"/>
    <w:rsid w:val="21396CE9"/>
    <w:rsid w:val="214021AF"/>
    <w:rsid w:val="21490D86"/>
    <w:rsid w:val="220E36AB"/>
    <w:rsid w:val="224A4611"/>
    <w:rsid w:val="22BB2110"/>
    <w:rsid w:val="22BF7271"/>
    <w:rsid w:val="23531B51"/>
    <w:rsid w:val="24510E45"/>
    <w:rsid w:val="24A4121D"/>
    <w:rsid w:val="251D7D16"/>
    <w:rsid w:val="258275B3"/>
    <w:rsid w:val="25AA4FDC"/>
    <w:rsid w:val="2647167A"/>
    <w:rsid w:val="264E3470"/>
    <w:rsid w:val="26F47770"/>
    <w:rsid w:val="26F7364B"/>
    <w:rsid w:val="273E6782"/>
    <w:rsid w:val="27734A2B"/>
    <w:rsid w:val="27945179"/>
    <w:rsid w:val="286334F1"/>
    <w:rsid w:val="28B244D0"/>
    <w:rsid w:val="28C10B52"/>
    <w:rsid w:val="297A291F"/>
    <w:rsid w:val="298C5F47"/>
    <w:rsid w:val="2A194F74"/>
    <w:rsid w:val="2A5F121A"/>
    <w:rsid w:val="2A95707E"/>
    <w:rsid w:val="2ADF40CB"/>
    <w:rsid w:val="2B145551"/>
    <w:rsid w:val="2B5C2D93"/>
    <w:rsid w:val="2C6E7887"/>
    <w:rsid w:val="2C805467"/>
    <w:rsid w:val="2C9E5A15"/>
    <w:rsid w:val="2CA84121"/>
    <w:rsid w:val="2D507544"/>
    <w:rsid w:val="2D6335EB"/>
    <w:rsid w:val="2DA46DF3"/>
    <w:rsid w:val="2DC91B3A"/>
    <w:rsid w:val="2E227833"/>
    <w:rsid w:val="2E7E2C37"/>
    <w:rsid w:val="2ED87AEC"/>
    <w:rsid w:val="2EEA65B0"/>
    <w:rsid w:val="2F3C5F68"/>
    <w:rsid w:val="2FD41246"/>
    <w:rsid w:val="2FF6F319"/>
    <w:rsid w:val="304657F9"/>
    <w:rsid w:val="30E04D13"/>
    <w:rsid w:val="317F4E34"/>
    <w:rsid w:val="318410E2"/>
    <w:rsid w:val="318F63BD"/>
    <w:rsid w:val="320A0D46"/>
    <w:rsid w:val="32D67302"/>
    <w:rsid w:val="32FA39D2"/>
    <w:rsid w:val="33DA2CC2"/>
    <w:rsid w:val="33FFB74D"/>
    <w:rsid w:val="345107C4"/>
    <w:rsid w:val="34D03FCF"/>
    <w:rsid w:val="34EA2853"/>
    <w:rsid w:val="35B77A16"/>
    <w:rsid w:val="36EA1A30"/>
    <w:rsid w:val="370E2397"/>
    <w:rsid w:val="37460DD6"/>
    <w:rsid w:val="376D1FE1"/>
    <w:rsid w:val="377D6808"/>
    <w:rsid w:val="377D69D4"/>
    <w:rsid w:val="378544CF"/>
    <w:rsid w:val="38486E3D"/>
    <w:rsid w:val="39914B13"/>
    <w:rsid w:val="3A166CD7"/>
    <w:rsid w:val="3B1A3829"/>
    <w:rsid w:val="3B3F02E1"/>
    <w:rsid w:val="3B4C770F"/>
    <w:rsid w:val="3B5D3CBB"/>
    <w:rsid w:val="3BD70AA4"/>
    <w:rsid w:val="3BE23FD7"/>
    <w:rsid w:val="3C2025D5"/>
    <w:rsid w:val="3C6209DD"/>
    <w:rsid w:val="3CF75EE2"/>
    <w:rsid w:val="3D324970"/>
    <w:rsid w:val="3DE257B2"/>
    <w:rsid w:val="3E000354"/>
    <w:rsid w:val="3E3F37A8"/>
    <w:rsid w:val="3EBF39B3"/>
    <w:rsid w:val="3EEA5C73"/>
    <w:rsid w:val="3F2F7B51"/>
    <w:rsid w:val="3F637BAA"/>
    <w:rsid w:val="3F7905CA"/>
    <w:rsid w:val="3FAC3BA9"/>
    <w:rsid w:val="402D4F5D"/>
    <w:rsid w:val="406F7140"/>
    <w:rsid w:val="40F4495F"/>
    <w:rsid w:val="413B07A8"/>
    <w:rsid w:val="4183652D"/>
    <w:rsid w:val="41C34BDA"/>
    <w:rsid w:val="42432F4C"/>
    <w:rsid w:val="425E5635"/>
    <w:rsid w:val="427A59FE"/>
    <w:rsid w:val="42A749B0"/>
    <w:rsid w:val="42B94272"/>
    <w:rsid w:val="42D4084C"/>
    <w:rsid w:val="43325996"/>
    <w:rsid w:val="433C2868"/>
    <w:rsid w:val="43436C73"/>
    <w:rsid w:val="43493446"/>
    <w:rsid w:val="43C31E22"/>
    <w:rsid w:val="453E5054"/>
    <w:rsid w:val="456B6926"/>
    <w:rsid w:val="45F22A3F"/>
    <w:rsid w:val="46095AC5"/>
    <w:rsid w:val="46552591"/>
    <w:rsid w:val="46CE04A3"/>
    <w:rsid w:val="46E40F57"/>
    <w:rsid w:val="46E6099E"/>
    <w:rsid w:val="46E74BA9"/>
    <w:rsid w:val="478512A5"/>
    <w:rsid w:val="47B628BC"/>
    <w:rsid w:val="48F62B11"/>
    <w:rsid w:val="49053618"/>
    <w:rsid w:val="49E23269"/>
    <w:rsid w:val="49F67BAE"/>
    <w:rsid w:val="49F71D54"/>
    <w:rsid w:val="4A52115D"/>
    <w:rsid w:val="4A9411C3"/>
    <w:rsid w:val="4ADA5689"/>
    <w:rsid w:val="4AE21E27"/>
    <w:rsid w:val="4B1224D9"/>
    <w:rsid w:val="4BCF68FE"/>
    <w:rsid w:val="4C227D06"/>
    <w:rsid w:val="4C3E30FC"/>
    <w:rsid w:val="4C4343EA"/>
    <w:rsid w:val="4C8805B7"/>
    <w:rsid w:val="4D065536"/>
    <w:rsid w:val="4D155ADE"/>
    <w:rsid w:val="4E1238A9"/>
    <w:rsid w:val="4E582E77"/>
    <w:rsid w:val="4EE00061"/>
    <w:rsid w:val="4F0E0130"/>
    <w:rsid w:val="4F246D20"/>
    <w:rsid w:val="4F67328B"/>
    <w:rsid w:val="4F883A52"/>
    <w:rsid w:val="4F932A8A"/>
    <w:rsid w:val="4FC346B2"/>
    <w:rsid w:val="4FC911B2"/>
    <w:rsid w:val="50222F89"/>
    <w:rsid w:val="502E0ECA"/>
    <w:rsid w:val="503926C3"/>
    <w:rsid w:val="50786490"/>
    <w:rsid w:val="51475453"/>
    <w:rsid w:val="518D5B14"/>
    <w:rsid w:val="51EC43B2"/>
    <w:rsid w:val="51F67F39"/>
    <w:rsid w:val="52D6388A"/>
    <w:rsid w:val="52D84D2B"/>
    <w:rsid w:val="52EC229D"/>
    <w:rsid w:val="52EC27BF"/>
    <w:rsid w:val="53E4510F"/>
    <w:rsid w:val="541E6C2A"/>
    <w:rsid w:val="54B22D4B"/>
    <w:rsid w:val="551E23C7"/>
    <w:rsid w:val="554A75A6"/>
    <w:rsid w:val="55D237B6"/>
    <w:rsid w:val="562A3E70"/>
    <w:rsid w:val="5636173A"/>
    <w:rsid w:val="570F3C9C"/>
    <w:rsid w:val="573A4D99"/>
    <w:rsid w:val="5757311B"/>
    <w:rsid w:val="57CB35C7"/>
    <w:rsid w:val="57E41E21"/>
    <w:rsid w:val="58641EB1"/>
    <w:rsid w:val="58AA06B4"/>
    <w:rsid w:val="58BF480C"/>
    <w:rsid w:val="59533E12"/>
    <w:rsid w:val="59585F18"/>
    <w:rsid w:val="59F41783"/>
    <w:rsid w:val="59FB6284"/>
    <w:rsid w:val="59FC7790"/>
    <w:rsid w:val="5A443B42"/>
    <w:rsid w:val="5A5310F5"/>
    <w:rsid w:val="5A9D2AF7"/>
    <w:rsid w:val="5B3963A1"/>
    <w:rsid w:val="5BD76584"/>
    <w:rsid w:val="5C1E31A1"/>
    <w:rsid w:val="5C37127B"/>
    <w:rsid w:val="5C4D30BF"/>
    <w:rsid w:val="5C9F3BC9"/>
    <w:rsid w:val="5CBE6807"/>
    <w:rsid w:val="5D0066A9"/>
    <w:rsid w:val="5D846059"/>
    <w:rsid w:val="5D88152A"/>
    <w:rsid w:val="5E035786"/>
    <w:rsid w:val="5E48650F"/>
    <w:rsid w:val="5E512B7A"/>
    <w:rsid w:val="5E840848"/>
    <w:rsid w:val="5EC94739"/>
    <w:rsid w:val="5EFF72DA"/>
    <w:rsid w:val="5F03289D"/>
    <w:rsid w:val="5F1A47BD"/>
    <w:rsid w:val="5F462686"/>
    <w:rsid w:val="5F6E1984"/>
    <w:rsid w:val="5FF43119"/>
    <w:rsid w:val="600133B7"/>
    <w:rsid w:val="603D1B46"/>
    <w:rsid w:val="607A0C59"/>
    <w:rsid w:val="609D03BF"/>
    <w:rsid w:val="60C90AAE"/>
    <w:rsid w:val="60FE45B6"/>
    <w:rsid w:val="612C2203"/>
    <w:rsid w:val="613F4FC1"/>
    <w:rsid w:val="62243C4B"/>
    <w:rsid w:val="62784C35"/>
    <w:rsid w:val="62974F89"/>
    <w:rsid w:val="62CE56ED"/>
    <w:rsid w:val="62D336D6"/>
    <w:rsid w:val="63131053"/>
    <w:rsid w:val="635C5FE3"/>
    <w:rsid w:val="63976495"/>
    <w:rsid w:val="6595187F"/>
    <w:rsid w:val="661934C5"/>
    <w:rsid w:val="664A2D81"/>
    <w:rsid w:val="669E76C1"/>
    <w:rsid w:val="676E78C6"/>
    <w:rsid w:val="67F9649B"/>
    <w:rsid w:val="681979D9"/>
    <w:rsid w:val="68A442A7"/>
    <w:rsid w:val="68E7592A"/>
    <w:rsid w:val="695751CC"/>
    <w:rsid w:val="69B612D0"/>
    <w:rsid w:val="6A1D41BC"/>
    <w:rsid w:val="6AF17F63"/>
    <w:rsid w:val="6B1F3322"/>
    <w:rsid w:val="6B2A1711"/>
    <w:rsid w:val="6B46540E"/>
    <w:rsid w:val="6B4E6C93"/>
    <w:rsid w:val="6B83003A"/>
    <w:rsid w:val="6BBB1741"/>
    <w:rsid w:val="6BD13452"/>
    <w:rsid w:val="6BDA4588"/>
    <w:rsid w:val="6C81436C"/>
    <w:rsid w:val="6C867C4D"/>
    <w:rsid w:val="6CE82B09"/>
    <w:rsid w:val="6D580555"/>
    <w:rsid w:val="6D7D76DF"/>
    <w:rsid w:val="6DC05278"/>
    <w:rsid w:val="6EB5117C"/>
    <w:rsid w:val="6EE64F72"/>
    <w:rsid w:val="6F6942D4"/>
    <w:rsid w:val="6FB37964"/>
    <w:rsid w:val="6FDFA023"/>
    <w:rsid w:val="703E3446"/>
    <w:rsid w:val="7058123A"/>
    <w:rsid w:val="70BE66D0"/>
    <w:rsid w:val="70DE64D8"/>
    <w:rsid w:val="70ED531C"/>
    <w:rsid w:val="70F71649"/>
    <w:rsid w:val="71122E14"/>
    <w:rsid w:val="71185C28"/>
    <w:rsid w:val="715666E5"/>
    <w:rsid w:val="721E62AF"/>
    <w:rsid w:val="734A6451"/>
    <w:rsid w:val="73802554"/>
    <w:rsid w:val="73960E20"/>
    <w:rsid w:val="73A675D2"/>
    <w:rsid w:val="73D906DC"/>
    <w:rsid w:val="74487F4A"/>
    <w:rsid w:val="751A654B"/>
    <w:rsid w:val="75AD28E6"/>
    <w:rsid w:val="75C30AF9"/>
    <w:rsid w:val="75D82903"/>
    <w:rsid w:val="75E21073"/>
    <w:rsid w:val="76440D70"/>
    <w:rsid w:val="768D490F"/>
    <w:rsid w:val="76D83709"/>
    <w:rsid w:val="770D6A27"/>
    <w:rsid w:val="771D5B84"/>
    <w:rsid w:val="77637C56"/>
    <w:rsid w:val="78052595"/>
    <w:rsid w:val="781B0428"/>
    <w:rsid w:val="78275F32"/>
    <w:rsid w:val="78474007"/>
    <w:rsid w:val="78A82E89"/>
    <w:rsid w:val="78E91E7F"/>
    <w:rsid w:val="790B118F"/>
    <w:rsid w:val="79AA09AF"/>
    <w:rsid w:val="79DD423F"/>
    <w:rsid w:val="79DE6B99"/>
    <w:rsid w:val="79FE0CF8"/>
    <w:rsid w:val="7A5F357D"/>
    <w:rsid w:val="7A751AA4"/>
    <w:rsid w:val="7A945FF5"/>
    <w:rsid w:val="7B3B0A8B"/>
    <w:rsid w:val="7CF94913"/>
    <w:rsid w:val="7D115384"/>
    <w:rsid w:val="7D460FCA"/>
    <w:rsid w:val="7D4C00C3"/>
    <w:rsid w:val="7DC255A6"/>
    <w:rsid w:val="7E025752"/>
    <w:rsid w:val="7E0D670F"/>
    <w:rsid w:val="7E5F0F05"/>
    <w:rsid w:val="7E611287"/>
    <w:rsid w:val="7E8A586D"/>
    <w:rsid w:val="7E97597F"/>
    <w:rsid w:val="7EAC0CAA"/>
    <w:rsid w:val="7F630F6D"/>
    <w:rsid w:val="7F665FD1"/>
    <w:rsid w:val="7FFB57A7"/>
    <w:rsid w:val="9FFF4D30"/>
    <w:rsid w:val="CEBF7C1C"/>
    <w:rsid w:val="CF7D9FCC"/>
    <w:rsid w:val="E7ED4C63"/>
    <w:rsid w:val="EDEDE0BF"/>
    <w:rsid w:val="F75F87B9"/>
    <w:rsid w:val="FBCE6A3A"/>
    <w:rsid w:val="FD7DE423"/>
    <w:rsid w:val="FFF7B7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qFormat="1" w:unhideWhenUsed="0" w:uiPriority="0" w:semiHidden="0" w:name="index 9"/>
    <w:lsdException w:qFormat="1" w:unhideWhenUsed="0" w:uiPriority="0" w:semiHidden="0"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index 9"/>
    <w:basedOn w:val="1"/>
    <w:next w:val="1"/>
    <w:qFormat/>
    <w:uiPriority w:val="0"/>
    <w:pPr>
      <w:ind w:left="3360"/>
      <w:jc w:val="left"/>
    </w:pPr>
    <w:rPr>
      <w:rFonts w:ascii="Calibri" w:hAnsi="Calibri" w:eastAsia="宋体" w:cs="Arial"/>
      <w:szCs w:val="22"/>
    </w:rPr>
  </w:style>
  <w:style w:type="paragraph" w:styleId="3">
    <w:name w:val="Body Text Indent"/>
    <w:basedOn w:val="1"/>
    <w:qFormat/>
    <w:uiPriority w:val="0"/>
    <w:pPr>
      <w:spacing w:line="600" w:lineRule="exact"/>
      <w:ind w:firstLine="640" w:firstLineChars="200"/>
    </w:pPr>
    <w:rPr>
      <w:rFonts w:ascii="Times New Roman" w:hAnsi="Times New Roman" w:eastAsia="仿宋_GB2312" w:cs="Times New Roman"/>
      <w:kern w:val="0"/>
      <w:sz w:val="24"/>
      <w:szCs w:val="24"/>
    </w:rPr>
  </w:style>
  <w:style w:type="paragraph" w:styleId="4">
    <w:name w:val="Balloon Text"/>
    <w:basedOn w:val="1"/>
    <w:qFormat/>
    <w:uiPriority w:val="0"/>
    <w:rPr>
      <w:sz w:val="18"/>
      <w:szCs w:val="18"/>
    </w:rPr>
  </w:style>
  <w:style w:type="paragraph" w:styleId="5">
    <w:name w:val="footer"/>
    <w:basedOn w:val="1"/>
    <w:qFormat/>
    <w:uiPriority w:val="0"/>
    <w:pPr>
      <w:tabs>
        <w:tab w:val="center" w:pos="4153"/>
        <w:tab w:val="right" w:pos="8306"/>
      </w:tabs>
      <w:snapToGrid w:val="0"/>
      <w:jc w:val="left"/>
    </w:pPr>
    <w:rPr>
      <w:rFonts w:ascii="Times New Roman" w:hAnsi="Times New Roman" w:cs="Times New Roman"/>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rFonts w:ascii="Times New Roman" w:hAnsi="Times New Roman" w:cs="Times New Roman"/>
      <w:sz w:val="18"/>
      <w:szCs w:val="18"/>
    </w:rPr>
  </w:style>
  <w:style w:type="paragraph" w:styleId="7">
    <w:name w:val="toc 1"/>
    <w:basedOn w:val="1"/>
    <w:next w:val="1"/>
    <w:qFormat/>
    <w:uiPriority w:val="0"/>
    <w:rPr>
      <w:rFonts w:ascii="Times New Roman" w:hAnsi="Times New Roman" w:cs="Times New Roman"/>
      <w:szCs w:val="24"/>
    </w:rPr>
  </w:style>
  <w:style w:type="paragraph" w:styleId="8">
    <w:name w:val="footnote text"/>
    <w:basedOn w:val="1"/>
    <w:qFormat/>
    <w:uiPriority w:val="0"/>
    <w:pPr>
      <w:snapToGrid w:val="0"/>
      <w:jc w:val="left"/>
    </w:pPr>
    <w:rPr>
      <w:rFonts w:cs="Times New Roman"/>
      <w:sz w:val="18"/>
      <w:szCs w:val="18"/>
    </w:rPr>
  </w:style>
  <w:style w:type="paragraph" w:styleId="9">
    <w:name w:val="toc 2"/>
    <w:basedOn w:val="1"/>
    <w:next w:val="1"/>
    <w:qFormat/>
    <w:uiPriority w:val="0"/>
    <w:pPr>
      <w:ind w:left="200" w:leftChars="200"/>
    </w:pPr>
    <w:rPr>
      <w:rFonts w:ascii="Times New Roman" w:hAnsi="Times New Roman" w:cs="Times New Roman"/>
      <w:szCs w:val="24"/>
    </w:rPr>
  </w:style>
  <w:style w:type="character" w:styleId="12">
    <w:name w:val="footnote reference"/>
    <w:qFormat/>
    <w:uiPriority w:val="0"/>
    <w:rPr>
      <w:vertAlign w:val="superscript"/>
    </w:rPr>
  </w:style>
  <w:style w:type="paragraph" w:customStyle="1" w:styleId="13">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4">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5">
    <w:name w:val="单元格样式4"/>
    <w:basedOn w:val="1"/>
    <w:qFormat/>
    <w:uiPriority w:val="0"/>
    <w:pPr>
      <w:widowControl/>
      <w:jc w:val="right"/>
    </w:pPr>
    <w:rPr>
      <w:rFonts w:ascii="方正书宋_GBK" w:hAnsi="方正书宋_GBK" w:eastAsia="方正书宋_GBK" w:cs="方正书宋_GBK"/>
      <w:kern w:val="0"/>
      <w:szCs w:val="24"/>
      <w:lang w:eastAsia="uk-UA"/>
    </w:rPr>
  </w:style>
  <w:style w:type="paragraph" w:customStyle="1" w:styleId="16">
    <w:name w:val="单元格样式2"/>
    <w:basedOn w:val="1"/>
    <w:qFormat/>
    <w:uiPriority w:val="0"/>
    <w:pPr>
      <w:widowControl/>
      <w:jc w:val="left"/>
    </w:pPr>
    <w:rPr>
      <w:rFonts w:ascii="方正书宋_GBK" w:hAnsi="方正书宋_GBK" w:eastAsia="方正书宋_GBK" w:cs="方正书宋_GBK"/>
      <w:kern w:val="0"/>
      <w:szCs w:val="24"/>
      <w:lang w:eastAsia="uk-UA"/>
    </w:rPr>
  </w:style>
  <w:style w:type="paragraph" w:customStyle="1" w:styleId="17">
    <w:name w:val="单元格样式3"/>
    <w:basedOn w:val="1"/>
    <w:qFormat/>
    <w:uiPriority w:val="0"/>
    <w:pPr>
      <w:widowControl/>
      <w:jc w:val="center"/>
    </w:pPr>
    <w:rPr>
      <w:rFonts w:ascii="方正书宋_GBK" w:hAnsi="方正书宋_GBK" w:eastAsia="方正书宋_GBK" w:cs="方正书宋_GBK"/>
      <w:kern w:val="0"/>
      <w:szCs w:val="24"/>
      <w:lang w:eastAsia="uk-UA"/>
    </w:rPr>
  </w:style>
  <w:style w:type="paragraph" w:customStyle="1" w:styleId="18">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9">
    <w:name w:val="单元格样式7"/>
    <w:basedOn w:val="1"/>
    <w:qFormat/>
    <w:uiPriority w:val="0"/>
    <w:pPr>
      <w:widowControl/>
      <w:jc w:val="right"/>
    </w:pPr>
    <w:rPr>
      <w:rFonts w:ascii="方正书宋_GBK" w:hAnsi="方正书宋_GBK" w:eastAsia="方正书宋_GBK" w:cs="方正书宋_GBK"/>
      <w:b/>
      <w:kern w:val="0"/>
      <w:szCs w:val="24"/>
      <w:lang w:eastAsia="uk-UA"/>
    </w:rPr>
  </w:style>
  <w:style w:type="paragraph" w:customStyle="1" w:styleId="20">
    <w:name w:val="单元格样式5"/>
    <w:basedOn w:val="1"/>
    <w:qFormat/>
    <w:uiPriority w:val="0"/>
    <w:pPr>
      <w:widowControl/>
      <w:jc w:val="left"/>
    </w:pPr>
    <w:rPr>
      <w:rFonts w:ascii="方正书宋_GBK" w:hAnsi="方正书宋_GBK" w:eastAsia="方正书宋_GBK" w:cs="方正书宋_GBK"/>
      <w:b/>
      <w:kern w:val="0"/>
      <w:szCs w:val="24"/>
      <w:lang w:eastAsia="uk-UA"/>
    </w:rPr>
  </w:style>
  <w:style w:type="paragraph" w:customStyle="1" w:styleId="21">
    <w:name w:val="插入文本样式-插入总体目标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 w:type="paragraph" w:customStyle="1" w:styleId="22">
    <w:name w:val="插入文本样式-插入职责分类绩效目标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 w:type="paragraph" w:customStyle="1" w:styleId="23">
    <w:name w:val="插入文本样式-插入实现年度发展规划目标的保障措施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 w:type="paragraph" w:customStyle="1" w:styleId="24">
    <w:name w:val="单元格样式20"/>
    <w:basedOn w:val="1"/>
    <w:qFormat/>
    <w:uiPriority w:val="0"/>
    <w:pPr>
      <w:spacing w:before="0" w:after="0"/>
      <w:ind w:firstLine="0"/>
      <w:jc w:val="left"/>
      <w:outlineLvl w:val="9"/>
    </w:pPr>
    <w:rPr>
      <w:rFonts w:ascii="方正小标宋_GBK" w:hAnsi="方正小标宋_GBK" w:eastAsia="方正小标宋_GBK" w:cs="方正小标宋_GBK"/>
      <w:sz w:val="24"/>
    </w:rPr>
  </w:style>
  <w:style w:type="paragraph" w:customStyle="1" w:styleId="25">
    <w:name w:val="单元格样式23"/>
    <w:basedOn w:val="1"/>
    <w:qFormat/>
    <w:uiPriority w:val="0"/>
    <w:pPr>
      <w:spacing w:before="0" w:after="0"/>
      <w:ind w:firstLine="0"/>
      <w:jc w:val="right"/>
      <w:outlineLvl w:val="9"/>
    </w:pPr>
    <w:rPr>
      <w:rFonts w:ascii="方正书宋_GBK" w:hAnsi="方正书宋_GBK" w:eastAsia="方正书宋_GBK" w:cs="方正书宋_GBK"/>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11</Pages>
  <Words>507</Words>
  <Characters>2896</Characters>
  <Lines>24</Lines>
  <Paragraphs>6</Paragraphs>
  <TotalTime>3</TotalTime>
  <ScaleCrop>false</ScaleCrop>
  <LinksUpToDate>false</LinksUpToDate>
  <CharactersWithSpaces>3397</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2020-01-14T03:27:00Z</dcterms:created>
  <dc:creator>guest</dc:creator>
  <cp:lastModifiedBy>user</cp:lastModifiedBy>
  <cp:lastPrinted>2018-01-31T06:12:00Z</cp:lastPrinted>
  <dcterms:modified xsi:type="dcterms:W3CDTF">2022-01-25T08:48:11Z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